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19" w:rsidRPr="008C5519" w:rsidRDefault="008C5519" w:rsidP="008F20A8">
      <w:pPr>
        <w:spacing w:after="196" w:line="369" w:lineRule="atLeast"/>
        <w:jc w:val="both"/>
        <w:outlineLvl w:val="0"/>
        <w:rPr>
          <w:rFonts w:ascii="Times New Roman" w:eastAsia="Times New Roman" w:hAnsi="Times New Roman" w:cs="Times New Roman"/>
          <w:b/>
          <w:bCs/>
          <w:color w:val="4D4D4D"/>
          <w:kern w:val="36"/>
          <w:sz w:val="35"/>
          <w:szCs w:val="35"/>
        </w:rPr>
      </w:pPr>
      <w:r w:rsidRPr="008C5519">
        <w:rPr>
          <w:rFonts w:ascii="Times New Roman" w:eastAsia="Times New Roman" w:hAnsi="Times New Roman" w:cs="Times New Roman"/>
          <w:b/>
          <w:bCs/>
          <w:color w:val="4D4D4D"/>
          <w:kern w:val="36"/>
          <w:sz w:val="35"/>
          <w:szCs w:val="35"/>
        </w:rPr>
        <w:t>Что нужно знать об итоговом сочинении?</w:t>
      </w:r>
    </w:p>
    <w:p w:rsidR="008C5519" w:rsidRPr="008C5519" w:rsidRDefault="008C5519" w:rsidP="008F20A8">
      <w:pPr>
        <w:spacing w:after="138"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16 ноября 2015</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hyperlink r:id="rId5" w:history="1">
        <w:r w:rsidRPr="008F20A8">
          <w:rPr>
            <w:rFonts w:ascii="Times New Roman" w:eastAsia="Times New Roman" w:hAnsi="Times New Roman" w:cs="Times New Roman"/>
            <w:color w:val="2060A4"/>
            <w:sz w:val="16"/>
          </w:rPr>
          <w:t>Мария Шувалова</w:t>
        </w:r>
      </w:hyperlink>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noProof/>
          <w:color w:val="000000"/>
          <w:sz w:val="16"/>
          <w:szCs w:val="16"/>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2" name="Рисунок 2" descr="http://www.garant.ru/files/1/4/671241/chto-nuzhno-znat-ob-itogovom-sochinenii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1/4/671241/chto-nuzhno-znat-ob-itogovom-sochinenii300.jpg"/>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8C5519">
        <w:rPr>
          <w:rFonts w:ascii="Times New Roman" w:eastAsia="Times New Roman" w:hAnsi="Times New Roman" w:cs="Times New Roman"/>
          <w:color w:val="000000"/>
          <w:sz w:val="16"/>
          <w:szCs w:val="16"/>
        </w:rPr>
        <w:t xml:space="preserve">Начиная с прошлого года написание итогового сочинения либо </w:t>
      </w:r>
      <w:proofErr w:type="gramStart"/>
      <w:r w:rsidRPr="008C5519">
        <w:rPr>
          <w:rFonts w:ascii="Times New Roman" w:eastAsia="Times New Roman" w:hAnsi="Times New Roman" w:cs="Times New Roman"/>
          <w:color w:val="000000"/>
          <w:sz w:val="16"/>
          <w:szCs w:val="16"/>
        </w:rPr>
        <w:t>изложения</w:t>
      </w:r>
      <w:proofErr w:type="gramEnd"/>
      <w:r w:rsidRPr="008C5519">
        <w:rPr>
          <w:rFonts w:ascii="Times New Roman" w:eastAsia="Times New Roman" w:hAnsi="Times New Roman" w:cs="Times New Roman"/>
          <w:color w:val="000000"/>
          <w:sz w:val="16"/>
          <w:szCs w:val="16"/>
        </w:rPr>
        <w:t xml:space="preserve"> является необходимым условием для допуска учащихся 11-12-х классов к государственной итоговой аттестации, в том числе к сдаче ЕГЭ (</w:t>
      </w:r>
      <w:proofErr w:type="spellStart"/>
      <w:r w:rsidRPr="008C5519">
        <w:rPr>
          <w:rFonts w:ascii="Times New Roman" w:eastAsia="Times New Roman" w:hAnsi="Times New Roman" w:cs="Times New Roman"/>
          <w:color w:val="000000"/>
          <w:sz w:val="16"/>
          <w:szCs w:val="16"/>
        </w:rPr>
        <w:fldChar w:fldCharType="begin"/>
      </w:r>
      <w:r w:rsidRPr="008C5519">
        <w:rPr>
          <w:rFonts w:ascii="Times New Roman" w:eastAsia="Times New Roman" w:hAnsi="Times New Roman" w:cs="Times New Roman"/>
          <w:color w:val="000000"/>
          <w:sz w:val="16"/>
          <w:szCs w:val="16"/>
        </w:rPr>
        <w:instrText xml:space="preserve"> HYPERLINK "http://base.garant.ru/70584436/" \l "p_7046" </w:instrText>
      </w:r>
      <w:r w:rsidRPr="008C5519">
        <w:rPr>
          <w:rFonts w:ascii="Times New Roman" w:eastAsia="Times New Roman" w:hAnsi="Times New Roman" w:cs="Times New Roman"/>
          <w:color w:val="000000"/>
          <w:sz w:val="16"/>
          <w:szCs w:val="16"/>
        </w:rPr>
        <w:fldChar w:fldCharType="separate"/>
      </w:r>
      <w:r w:rsidRPr="008F20A8">
        <w:rPr>
          <w:rFonts w:ascii="Times New Roman" w:eastAsia="Times New Roman" w:hAnsi="Times New Roman" w:cs="Times New Roman"/>
          <w:color w:val="2060A4"/>
          <w:sz w:val="16"/>
        </w:rPr>
        <w:t>абз</w:t>
      </w:r>
      <w:proofErr w:type="spellEnd"/>
      <w:r w:rsidRPr="008F20A8">
        <w:rPr>
          <w:rFonts w:ascii="Times New Roman" w:eastAsia="Times New Roman" w:hAnsi="Times New Roman" w:cs="Times New Roman"/>
          <w:color w:val="2060A4"/>
          <w:sz w:val="16"/>
        </w:rPr>
        <w:t xml:space="preserve">. 1 п. 9.1. </w:t>
      </w:r>
      <w:proofErr w:type="gramStart"/>
      <w:r w:rsidRPr="008F20A8">
        <w:rPr>
          <w:rFonts w:ascii="Times New Roman" w:eastAsia="Times New Roman" w:hAnsi="Times New Roman" w:cs="Times New Roman"/>
          <w:color w:val="2060A4"/>
          <w:sz w:val="16"/>
        </w:rPr>
        <w:t>Порядка проведения государственной итоговой аттестации по образовательным программам среднего общего образования</w:t>
      </w:r>
      <w:r w:rsidRPr="008C5519">
        <w:rPr>
          <w:rFonts w:ascii="Times New Roman" w:eastAsia="Times New Roman" w:hAnsi="Times New Roman" w:cs="Times New Roman"/>
          <w:color w:val="000000"/>
          <w:sz w:val="16"/>
          <w:szCs w:val="16"/>
        </w:rPr>
        <w:fldChar w:fldCharType="end"/>
      </w:r>
      <w:r w:rsidRPr="008C5519">
        <w:rPr>
          <w:rFonts w:ascii="Times New Roman" w:eastAsia="Times New Roman" w:hAnsi="Times New Roman" w:cs="Times New Roman"/>
          <w:color w:val="000000"/>
          <w:sz w:val="16"/>
          <w:szCs w:val="16"/>
        </w:rPr>
        <w:t>; далее – порядок проведения ГИА).</w:t>
      </w:r>
      <w:proofErr w:type="gramEnd"/>
      <w:r w:rsidRPr="008C5519">
        <w:rPr>
          <w:rFonts w:ascii="Times New Roman" w:eastAsia="Times New Roman" w:hAnsi="Times New Roman" w:cs="Times New Roman"/>
          <w:color w:val="000000"/>
          <w:sz w:val="16"/>
          <w:szCs w:val="16"/>
        </w:rPr>
        <w:t xml:space="preserve"> В этом году выпускники школ будут писать его 2 декабря (</w:t>
      </w:r>
      <w:hyperlink r:id="rId7" w:history="1">
        <w:r w:rsidRPr="008F20A8">
          <w:rPr>
            <w:rFonts w:ascii="Times New Roman" w:eastAsia="Times New Roman" w:hAnsi="Times New Roman" w:cs="Times New Roman"/>
            <w:color w:val="2060A4"/>
            <w:sz w:val="16"/>
          </w:rPr>
          <w:t xml:space="preserve">письмо </w:t>
        </w:r>
        <w:proofErr w:type="spellStart"/>
        <w:r w:rsidRPr="008F20A8">
          <w:rPr>
            <w:rFonts w:ascii="Times New Roman" w:eastAsia="Times New Roman" w:hAnsi="Times New Roman" w:cs="Times New Roman"/>
            <w:color w:val="2060A4"/>
            <w:sz w:val="16"/>
          </w:rPr>
          <w:t>Рособрнадзора</w:t>
        </w:r>
        <w:proofErr w:type="spellEnd"/>
        <w:r w:rsidRPr="008F20A8">
          <w:rPr>
            <w:rFonts w:ascii="Times New Roman" w:eastAsia="Times New Roman" w:hAnsi="Times New Roman" w:cs="Times New Roman"/>
            <w:color w:val="2060A4"/>
            <w:sz w:val="16"/>
          </w:rPr>
          <w:t xml:space="preserve"> от 30 октября 2015 г. № 02-484</w:t>
        </w:r>
      </w:hyperlink>
      <w:r w:rsidRPr="008C5519">
        <w:rPr>
          <w:rFonts w:ascii="Times New Roman" w:eastAsia="Times New Roman" w:hAnsi="Times New Roman" w:cs="Times New Roman"/>
          <w:color w:val="000000"/>
          <w:sz w:val="16"/>
          <w:szCs w:val="16"/>
        </w:rPr>
        <w:t>). Также определены две запасные даты – 3 февраля и 4 мая 2016 года. Они устанавливаются для пересдачи сочинения (изложения) и написания его теми, кто не явился в декабре для выполнения работы или не завершил ее по уважительным причинам, подтвержденным документально (</w:t>
      </w:r>
      <w:proofErr w:type="spellStart"/>
      <w:r w:rsidRPr="008C5519">
        <w:rPr>
          <w:rFonts w:ascii="Times New Roman" w:eastAsia="Times New Roman" w:hAnsi="Times New Roman" w:cs="Times New Roman"/>
          <w:color w:val="000000"/>
          <w:sz w:val="16"/>
          <w:szCs w:val="16"/>
        </w:rPr>
        <w:fldChar w:fldCharType="begin"/>
      </w:r>
      <w:r w:rsidRPr="008C5519">
        <w:rPr>
          <w:rFonts w:ascii="Times New Roman" w:eastAsia="Times New Roman" w:hAnsi="Times New Roman" w:cs="Times New Roman"/>
          <w:color w:val="000000"/>
          <w:sz w:val="16"/>
          <w:szCs w:val="16"/>
        </w:rPr>
        <w:instrText xml:space="preserve"> HYPERLINK "http://base.garant.ru/70584436/" \l "p_7054" </w:instrText>
      </w:r>
      <w:r w:rsidRPr="008C5519">
        <w:rPr>
          <w:rFonts w:ascii="Times New Roman" w:eastAsia="Times New Roman" w:hAnsi="Times New Roman" w:cs="Times New Roman"/>
          <w:color w:val="000000"/>
          <w:sz w:val="16"/>
          <w:szCs w:val="16"/>
        </w:rPr>
        <w:fldChar w:fldCharType="separate"/>
      </w:r>
      <w:r w:rsidRPr="008F20A8">
        <w:rPr>
          <w:rFonts w:ascii="Times New Roman" w:eastAsia="Times New Roman" w:hAnsi="Times New Roman" w:cs="Times New Roman"/>
          <w:color w:val="2060A4"/>
          <w:sz w:val="16"/>
        </w:rPr>
        <w:t>абз</w:t>
      </w:r>
      <w:proofErr w:type="spellEnd"/>
      <w:r w:rsidRPr="008F20A8">
        <w:rPr>
          <w:rFonts w:ascii="Times New Roman" w:eastAsia="Times New Roman" w:hAnsi="Times New Roman" w:cs="Times New Roman"/>
          <w:color w:val="2060A4"/>
          <w:sz w:val="16"/>
        </w:rPr>
        <w:t>. 13 п. 9.1 порядка проведения ГИА</w:t>
      </w:r>
      <w:r w:rsidRPr="008C5519">
        <w:rPr>
          <w:rFonts w:ascii="Times New Roman" w:eastAsia="Times New Roman" w:hAnsi="Times New Roman" w:cs="Times New Roman"/>
          <w:color w:val="000000"/>
          <w:sz w:val="16"/>
          <w:szCs w:val="16"/>
        </w:rPr>
        <w:fldChar w:fldCharType="end"/>
      </w:r>
      <w:r w:rsidRPr="008C5519">
        <w:rPr>
          <w:rFonts w:ascii="Times New Roman" w:eastAsia="Times New Roman" w:hAnsi="Times New Roman" w:cs="Times New Roman"/>
          <w:color w:val="000000"/>
          <w:sz w:val="16"/>
          <w:szCs w:val="16"/>
        </w:rPr>
        <w:t>).</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С учетом прошлогоднего опыта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утвердил подробные методические рекомендации по подготовке, проведению сочинения (изложения) и оценке работ учащихся в 2015/16 учебном году (</w:t>
      </w:r>
      <w:hyperlink r:id="rId8" w:history="1">
        <w:r w:rsidRPr="008F20A8">
          <w:rPr>
            <w:rFonts w:ascii="Times New Roman" w:eastAsia="Times New Roman" w:hAnsi="Times New Roman" w:cs="Times New Roman"/>
            <w:color w:val="2060A4"/>
            <w:sz w:val="16"/>
          </w:rPr>
          <w:t xml:space="preserve">письмо </w:t>
        </w:r>
        <w:proofErr w:type="spellStart"/>
        <w:r w:rsidRPr="008F20A8">
          <w:rPr>
            <w:rFonts w:ascii="Times New Roman" w:eastAsia="Times New Roman" w:hAnsi="Times New Roman" w:cs="Times New Roman"/>
            <w:color w:val="2060A4"/>
            <w:sz w:val="16"/>
          </w:rPr>
          <w:t>Рособрнадзора</w:t>
        </w:r>
        <w:proofErr w:type="spellEnd"/>
        <w:r w:rsidRPr="008F20A8">
          <w:rPr>
            <w:rFonts w:ascii="Times New Roman" w:eastAsia="Times New Roman" w:hAnsi="Times New Roman" w:cs="Times New Roman"/>
            <w:color w:val="2060A4"/>
            <w:sz w:val="16"/>
          </w:rPr>
          <w:t xml:space="preserve"> от 1 октября 2015 г. № 02-448</w:t>
        </w:r>
      </w:hyperlink>
      <w:r w:rsidRPr="008C5519">
        <w:rPr>
          <w:rFonts w:ascii="Times New Roman" w:eastAsia="Times New Roman" w:hAnsi="Times New Roman" w:cs="Times New Roman"/>
          <w:color w:val="000000"/>
          <w:sz w:val="16"/>
          <w:szCs w:val="16"/>
        </w:rPr>
        <w:t xml:space="preserve">). Посмотрим, на какие моменты стоит обратить особое внимание выпускникам и как эксперты будут </w:t>
      </w:r>
      <w:proofErr w:type="gramStart"/>
      <w:r w:rsidRPr="008C5519">
        <w:rPr>
          <w:rFonts w:ascii="Times New Roman" w:eastAsia="Times New Roman" w:hAnsi="Times New Roman" w:cs="Times New Roman"/>
          <w:color w:val="000000"/>
          <w:sz w:val="16"/>
          <w:szCs w:val="16"/>
        </w:rPr>
        <w:t>проверять</w:t>
      </w:r>
      <w:proofErr w:type="gramEnd"/>
      <w:r w:rsidRPr="008C5519">
        <w:rPr>
          <w:rFonts w:ascii="Times New Roman" w:eastAsia="Times New Roman" w:hAnsi="Times New Roman" w:cs="Times New Roman"/>
          <w:color w:val="000000"/>
          <w:sz w:val="16"/>
          <w:szCs w:val="16"/>
        </w:rPr>
        <w:t xml:space="preserve"> и оценивать их работы.</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b/>
          <w:bCs/>
          <w:color w:val="0060AE"/>
        </w:rPr>
        <w:t>Порядок проведения сочинения (изложения)</w:t>
      </w:r>
    </w:p>
    <w:p w:rsidR="008C5519" w:rsidRPr="008C5519" w:rsidRDefault="008C5519" w:rsidP="008F20A8">
      <w:pPr>
        <w:spacing w:after="173"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О порядке проведения выпускных экзаменов узнайте из материала</w:t>
      </w:r>
      <w:r w:rsidRPr="008F20A8">
        <w:rPr>
          <w:rFonts w:ascii="Times New Roman" w:eastAsia="Times New Roman" w:hAnsi="Times New Roman" w:cs="Times New Roman"/>
          <w:color w:val="000000"/>
          <w:sz w:val="16"/>
        </w:rPr>
        <w:t> </w:t>
      </w:r>
      <w:r w:rsidRPr="008F20A8">
        <w:rPr>
          <w:rFonts w:ascii="Times New Roman" w:eastAsia="Times New Roman" w:hAnsi="Times New Roman" w:cs="Times New Roman"/>
          <w:b/>
          <w:bCs/>
          <w:color w:val="0000FF"/>
          <w:sz w:val="16"/>
        </w:rPr>
        <w:t xml:space="preserve">"Государственная итоговая аттестация (ГИА). Единые государственные экзамены (ЕГЭ)" Домашней правовой </w:t>
      </w:r>
      <w:proofErr w:type="spellStart"/>
      <w:r w:rsidRPr="008F20A8">
        <w:rPr>
          <w:rFonts w:ascii="Times New Roman" w:eastAsia="Times New Roman" w:hAnsi="Times New Roman" w:cs="Times New Roman"/>
          <w:b/>
          <w:bCs/>
          <w:color w:val="0000FF"/>
          <w:sz w:val="16"/>
        </w:rPr>
        <w:t>энциклопедии</w:t>
      </w:r>
      <w:r w:rsidRPr="008C5519">
        <w:rPr>
          <w:rFonts w:ascii="Times New Roman" w:eastAsia="Times New Roman" w:hAnsi="Times New Roman" w:cs="Times New Roman"/>
          <w:color w:val="000000"/>
          <w:sz w:val="16"/>
          <w:szCs w:val="16"/>
        </w:rPr>
        <w:t>интернет-версии</w:t>
      </w:r>
      <w:proofErr w:type="spellEnd"/>
      <w:r w:rsidRPr="008C5519">
        <w:rPr>
          <w:rFonts w:ascii="Times New Roman" w:eastAsia="Times New Roman" w:hAnsi="Times New Roman" w:cs="Times New Roman"/>
          <w:color w:val="000000"/>
          <w:sz w:val="16"/>
          <w:szCs w:val="16"/>
        </w:rPr>
        <w:t xml:space="preserve"> системы ГАРАНТ.</w:t>
      </w:r>
      <w:r w:rsidRPr="008C5519">
        <w:rPr>
          <w:rFonts w:ascii="Times New Roman" w:eastAsia="Times New Roman" w:hAnsi="Times New Roman" w:cs="Times New Roman"/>
          <w:color w:val="000000"/>
          <w:sz w:val="16"/>
          <w:szCs w:val="16"/>
        </w:rPr>
        <w:br/>
        <w:t>Получите бесплатный доступ на 3 дня!</w:t>
      </w:r>
      <w:r w:rsidRPr="008C5519">
        <w:rPr>
          <w:rFonts w:ascii="Times New Roman" w:eastAsia="Times New Roman" w:hAnsi="Times New Roman" w:cs="Times New Roman"/>
          <w:color w:val="000000"/>
          <w:sz w:val="16"/>
          <w:szCs w:val="16"/>
        </w:rPr>
        <w:br/>
      </w:r>
      <w:hyperlink r:id="rId9" w:tgtFrame="_blank" w:history="1">
        <w:r w:rsidRPr="008F20A8">
          <w:rPr>
            <w:rFonts w:ascii="Times New Roman" w:eastAsia="Times New Roman" w:hAnsi="Times New Roman" w:cs="Times New Roman"/>
            <w:color w:val="FFFFFF"/>
            <w:sz w:val="16"/>
          </w:rPr>
          <w:t>Получить доступ</w:t>
        </w:r>
      </w:hyperlink>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Итоговое сочинение или изложение проводится в школах или в местах, определенных региональными органами исполнительной власти, которые осуществляют государственное управление в сфере образования. Для лиц, имеющих медицинские показания для обучения на дому и соответствующие рекомендации </w:t>
      </w:r>
      <w:proofErr w:type="spellStart"/>
      <w:r w:rsidRPr="008C5519">
        <w:rPr>
          <w:rFonts w:ascii="Times New Roman" w:eastAsia="Times New Roman" w:hAnsi="Times New Roman" w:cs="Times New Roman"/>
          <w:color w:val="000000"/>
          <w:sz w:val="16"/>
          <w:szCs w:val="16"/>
        </w:rPr>
        <w:t>психолого-медико-педагогической</w:t>
      </w:r>
      <w:proofErr w:type="spellEnd"/>
      <w:r w:rsidRPr="008C5519">
        <w:rPr>
          <w:rFonts w:ascii="Times New Roman" w:eastAsia="Times New Roman" w:hAnsi="Times New Roman" w:cs="Times New Roman"/>
          <w:color w:val="000000"/>
          <w:sz w:val="16"/>
          <w:szCs w:val="16"/>
        </w:rPr>
        <w:t xml:space="preserve"> комиссии, итоговое сочинение или изложение организуется на дому (</w:t>
      </w:r>
      <w:hyperlink r:id="rId10" w:anchor="p_2828" w:history="1">
        <w:r w:rsidRPr="008F20A8">
          <w:rPr>
            <w:rFonts w:ascii="Times New Roman" w:eastAsia="Times New Roman" w:hAnsi="Times New Roman" w:cs="Times New Roman"/>
            <w:color w:val="2060A4"/>
            <w:sz w:val="16"/>
          </w:rPr>
          <w:t>п. 1.4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hyperlink>
      <w:r w:rsidRPr="008C5519">
        <w:rPr>
          <w:rFonts w:ascii="Times New Roman" w:eastAsia="Times New Roman" w:hAnsi="Times New Roman" w:cs="Times New Roman"/>
          <w:color w:val="000000"/>
          <w:sz w:val="16"/>
          <w:szCs w:val="16"/>
        </w:rPr>
        <w:t>; далее – рекомендации для образовательных организаций).</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Не </w:t>
      </w:r>
      <w:proofErr w:type="gramStart"/>
      <w:r w:rsidRPr="008C5519">
        <w:rPr>
          <w:rFonts w:ascii="Times New Roman" w:eastAsia="Times New Roman" w:hAnsi="Times New Roman" w:cs="Times New Roman"/>
          <w:color w:val="000000"/>
          <w:sz w:val="16"/>
          <w:szCs w:val="16"/>
        </w:rPr>
        <w:t>позднее</w:t>
      </w:r>
      <w:proofErr w:type="gramEnd"/>
      <w:r w:rsidRPr="008C5519">
        <w:rPr>
          <w:rFonts w:ascii="Times New Roman" w:eastAsia="Times New Roman" w:hAnsi="Times New Roman" w:cs="Times New Roman"/>
          <w:color w:val="000000"/>
          <w:sz w:val="16"/>
          <w:szCs w:val="16"/>
        </w:rPr>
        <w:t xml:space="preserve"> чем за две недели до начала проведения сочинения (изложения) учащиеся или выпускники прошлых лет должны подать в образовательные организации заявление для участия в нем (</w:t>
      </w:r>
      <w:hyperlink r:id="rId11" w:anchor="p_3970" w:history="1">
        <w:r w:rsidRPr="008F20A8">
          <w:rPr>
            <w:rFonts w:ascii="Times New Roman" w:eastAsia="Times New Roman" w:hAnsi="Times New Roman" w:cs="Times New Roman"/>
            <w:color w:val="2060A4"/>
            <w:sz w:val="16"/>
          </w:rPr>
          <w:t>приложение 1</w:t>
        </w:r>
      </w:hyperlink>
      <w:r w:rsidRPr="008C5519">
        <w:rPr>
          <w:rFonts w:ascii="Times New Roman" w:eastAsia="Times New Roman" w:hAnsi="Times New Roman" w:cs="Times New Roman"/>
          <w:color w:val="000000"/>
          <w:sz w:val="16"/>
          <w:szCs w:val="16"/>
        </w:rPr>
        <w:t>,</w:t>
      </w:r>
      <w:r w:rsidRPr="008F20A8">
        <w:rPr>
          <w:rFonts w:ascii="Times New Roman" w:eastAsia="Times New Roman" w:hAnsi="Times New Roman" w:cs="Times New Roman"/>
          <w:color w:val="000000"/>
          <w:sz w:val="16"/>
        </w:rPr>
        <w:t> </w:t>
      </w:r>
      <w:hyperlink r:id="rId12" w:anchor="p_3972" w:history="1">
        <w:r w:rsidRPr="008F20A8">
          <w:rPr>
            <w:rFonts w:ascii="Times New Roman" w:eastAsia="Times New Roman" w:hAnsi="Times New Roman" w:cs="Times New Roman"/>
            <w:color w:val="2060A4"/>
            <w:sz w:val="16"/>
          </w:rPr>
          <w:t>приложение 2</w:t>
        </w:r>
      </w:hyperlink>
      <w:r w:rsidRPr="008C5519">
        <w:rPr>
          <w:rFonts w:ascii="Times New Roman" w:eastAsia="Times New Roman" w:hAnsi="Times New Roman" w:cs="Times New Roman"/>
          <w:color w:val="000000"/>
          <w:sz w:val="16"/>
          <w:szCs w:val="16"/>
        </w:rPr>
        <w:t> к методическим рекомендациям</w:t>
      </w:r>
      <w:r w:rsidRPr="008C5519">
        <w:rPr>
          <w:rFonts w:ascii="Times New Roman" w:eastAsia="Times New Roman" w:hAnsi="Times New Roman" w:cs="Times New Roman"/>
          <w:color w:val="000000"/>
          <w:sz w:val="16"/>
          <w:szCs w:val="16"/>
        </w:rPr>
        <w:br/>
        <w:t>по подготовке к итоговому сочинению (изложению) для участников итогового сочинения (изложения); далее – рекомендации для участников) и дать согласие на обработку персональных данных (</w:t>
      </w:r>
      <w:hyperlink r:id="rId13" w:anchor="p_3974" w:history="1">
        <w:r w:rsidRPr="008F20A8">
          <w:rPr>
            <w:rFonts w:ascii="Times New Roman" w:eastAsia="Times New Roman" w:hAnsi="Times New Roman" w:cs="Times New Roman"/>
            <w:color w:val="2060A4"/>
            <w:sz w:val="16"/>
          </w:rPr>
          <w:t>приложение 3</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к рекомендациям для участников). Таким образом, в этом году последний день подачи заявления и сопутствующих документов – 17 ноября.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НАША СПРАВКА</w:t>
      </w:r>
      <w:r w:rsidRPr="008C5519">
        <w:rPr>
          <w:rFonts w:ascii="Times New Roman" w:eastAsia="Times New Roman" w:hAnsi="Times New Roman" w:cs="Times New Roman"/>
          <w:b/>
          <w:bCs/>
          <w:color w:val="FFFFFF"/>
          <w:sz w:val="16"/>
          <w:szCs w:val="16"/>
          <w:shd w:val="clear" w:color="auto" w:fill="9B9FA8"/>
        </w:rPr>
        <w:br/>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proofErr w:type="gramStart"/>
      <w:r w:rsidRPr="008C5519">
        <w:rPr>
          <w:rFonts w:ascii="Times New Roman" w:eastAsia="Times New Roman" w:hAnsi="Times New Roman" w:cs="Times New Roman"/>
          <w:color w:val="000000"/>
          <w:sz w:val="16"/>
          <w:szCs w:val="16"/>
        </w:rPr>
        <w:t>Поскольку результаты итогового сочинения или изложения могут учитываться при поступлении в вуз, писать его могут, в том числе, выпускники прошлых лет, лица, получающие среднее профессиональное образование, граждане, обучающиеся в иностранных образовательных организациях, а также те, кто в предыдущие годы не сдавал ЕГЭ или получил неудовлетворительные результаты хотя бы по одному из экзаменов (то есть лица, окончившие школу со справкой).</w:t>
      </w:r>
      <w:proofErr w:type="gramEnd"/>
      <w:r w:rsidRPr="008C5519">
        <w:rPr>
          <w:rFonts w:ascii="Times New Roman" w:eastAsia="Times New Roman" w:hAnsi="Times New Roman" w:cs="Times New Roman"/>
          <w:color w:val="000000"/>
          <w:sz w:val="16"/>
          <w:szCs w:val="16"/>
        </w:rPr>
        <w:t xml:space="preserve"> Полный перечень участников сочинения закреплен в</w:t>
      </w:r>
      <w:r w:rsidRPr="008F20A8">
        <w:rPr>
          <w:rFonts w:ascii="Times New Roman" w:eastAsia="Times New Roman" w:hAnsi="Times New Roman" w:cs="Times New Roman"/>
          <w:color w:val="000000"/>
          <w:sz w:val="16"/>
        </w:rPr>
        <w:t> </w:t>
      </w:r>
      <w:hyperlink r:id="rId14" w:anchor="p_7046" w:history="1">
        <w:r w:rsidRPr="008F20A8">
          <w:rPr>
            <w:rFonts w:ascii="Times New Roman" w:eastAsia="Times New Roman" w:hAnsi="Times New Roman" w:cs="Times New Roman"/>
            <w:color w:val="2060A4"/>
            <w:sz w:val="16"/>
          </w:rPr>
          <w:t>п. 9.1 порядка проведения ГИА</w:t>
        </w:r>
      </w:hyperlink>
      <w:r w:rsidRPr="008C5519">
        <w:rPr>
          <w:rFonts w:ascii="Times New Roman" w:eastAsia="Times New Roman" w:hAnsi="Times New Roman" w:cs="Times New Roman"/>
          <w:color w:val="000000"/>
          <w:sz w:val="16"/>
          <w:szCs w:val="16"/>
        </w:rPr>
        <w:t>.</w:t>
      </w:r>
    </w:p>
    <w:p w:rsidR="008C5519" w:rsidRPr="008C5519" w:rsidRDefault="008C5519" w:rsidP="008F20A8">
      <w:pPr>
        <w:spacing w:before="196"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pict>
          <v:rect id="_x0000_i1025" style="width:467.75pt;height:.6pt" o:hralign="center" o:hrstd="t" o:hr="t" fillcolor="#a0a0a0" stroked="f"/>
        </w:pic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Учащиеся с ограниченными возможностями здоровья вместе с заявлением подают копию рекомендаций </w:t>
      </w:r>
      <w:proofErr w:type="spellStart"/>
      <w:r w:rsidRPr="008C5519">
        <w:rPr>
          <w:rFonts w:ascii="Times New Roman" w:eastAsia="Times New Roman" w:hAnsi="Times New Roman" w:cs="Times New Roman"/>
          <w:color w:val="000000"/>
          <w:sz w:val="16"/>
          <w:szCs w:val="16"/>
        </w:rPr>
        <w:t>психолого-медико-педагогической</w:t>
      </w:r>
      <w:proofErr w:type="spellEnd"/>
      <w:r w:rsidRPr="008C5519">
        <w:rPr>
          <w:rFonts w:ascii="Times New Roman" w:eastAsia="Times New Roman" w:hAnsi="Times New Roman" w:cs="Times New Roman"/>
          <w:color w:val="000000"/>
          <w:sz w:val="16"/>
          <w:szCs w:val="16"/>
        </w:rPr>
        <w:t xml:space="preserve"> комиссии, инвалиды – оригинал или заверенную копию справки об инвалидности, выпускники прошлых лет – оригиналы документов об образовании, иностранцы – оригинал документа об образовании с нотариально заверенным переводом. </w:t>
      </w:r>
      <w:proofErr w:type="gramStart"/>
      <w:r w:rsidRPr="008C5519">
        <w:rPr>
          <w:rFonts w:ascii="Times New Roman" w:eastAsia="Times New Roman" w:hAnsi="Times New Roman" w:cs="Times New Roman"/>
          <w:color w:val="000000"/>
          <w:sz w:val="16"/>
          <w:szCs w:val="16"/>
        </w:rPr>
        <w:t>Напомним, что учащиеся с ограниченными возможностями здоровья, инвалиды, граждане, обучающиеся в специальных учебно-воспитательных учреждениях закрытого типа, а также в учреждениях, исполняющих наказание в виде лишения свободы, те, кто учится на дому или нуждается в длительном лечении и находится в лечебных или реабилитационных учреждениях, могут писать по своему выбору изложение вместо сочинения (</w:t>
      </w:r>
      <w:proofErr w:type="spellStart"/>
      <w:r w:rsidRPr="008C5519">
        <w:rPr>
          <w:rFonts w:ascii="Times New Roman" w:eastAsia="Times New Roman" w:hAnsi="Times New Roman" w:cs="Times New Roman"/>
          <w:color w:val="000000"/>
          <w:sz w:val="16"/>
          <w:szCs w:val="16"/>
        </w:rPr>
        <w:fldChar w:fldCharType="begin"/>
      </w:r>
      <w:r w:rsidRPr="008C5519">
        <w:rPr>
          <w:rFonts w:ascii="Times New Roman" w:eastAsia="Times New Roman" w:hAnsi="Times New Roman" w:cs="Times New Roman"/>
          <w:color w:val="000000"/>
          <w:sz w:val="16"/>
          <w:szCs w:val="16"/>
        </w:rPr>
        <w:instrText xml:space="preserve"> HYPERLINK "http://base.garant.ru/70584436/" \l "p_7047" </w:instrText>
      </w:r>
      <w:r w:rsidRPr="008C5519">
        <w:rPr>
          <w:rFonts w:ascii="Times New Roman" w:eastAsia="Times New Roman" w:hAnsi="Times New Roman" w:cs="Times New Roman"/>
          <w:color w:val="000000"/>
          <w:sz w:val="16"/>
          <w:szCs w:val="16"/>
        </w:rPr>
        <w:fldChar w:fldCharType="separate"/>
      </w:r>
      <w:r w:rsidRPr="008F20A8">
        <w:rPr>
          <w:rFonts w:ascii="Times New Roman" w:eastAsia="Times New Roman" w:hAnsi="Times New Roman" w:cs="Times New Roman"/>
          <w:color w:val="2060A4"/>
          <w:sz w:val="16"/>
        </w:rPr>
        <w:t>абз</w:t>
      </w:r>
      <w:proofErr w:type="spellEnd"/>
      <w:r w:rsidRPr="008F20A8">
        <w:rPr>
          <w:rFonts w:ascii="Times New Roman" w:eastAsia="Times New Roman" w:hAnsi="Times New Roman" w:cs="Times New Roman"/>
          <w:color w:val="2060A4"/>
          <w:sz w:val="16"/>
        </w:rPr>
        <w:t>. 2 п. 9.1 порядка проведения ГИА</w:t>
      </w:r>
      <w:r w:rsidRPr="008C5519">
        <w:rPr>
          <w:rFonts w:ascii="Times New Roman" w:eastAsia="Times New Roman" w:hAnsi="Times New Roman" w:cs="Times New Roman"/>
          <w:color w:val="000000"/>
          <w:sz w:val="16"/>
          <w:szCs w:val="16"/>
        </w:rPr>
        <w:fldChar w:fldCharType="end"/>
      </w:r>
      <w:r w:rsidRPr="008C5519">
        <w:rPr>
          <w:rFonts w:ascii="Times New Roman" w:eastAsia="Times New Roman" w:hAnsi="Times New Roman" w:cs="Times New Roman"/>
          <w:color w:val="000000"/>
          <w:sz w:val="16"/>
          <w:szCs w:val="16"/>
        </w:rPr>
        <w:t>).</w:t>
      </w:r>
      <w:proofErr w:type="gramEnd"/>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proofErr w:type="gramStart"/>
      <w:r w:rsidRPr="008C5519">
        <w:rPr>
          <w:rFonts w:ascii="Times New Roman" w:eastAsia="Times New Roman" w:hAnsi="Times New Roman" w:cs="Times New Roman"/>
          <w:color w:val="000000"/>
          <w:sz w:val="16"/>
          <w:szCs w:val="16"/>
        </w:rPr>
        <w:t>Сочинение или изложение начнется в 10.00 по местному времени, продолжительность его написания составит 3 ч. 55 мин. Для детей с ограниченными возможностями здоровья и инвалидов – 5 ч. 25 мин. При этом таких детей должны будут покормить, поскольку рекомендациями предусмотрено, что если продолжительность сочинения (изложения) занимает больше четырех часов, должно быть организовано питание его участников (</w:t>
      </w:r>
      <w:proofErr w:type="spellStart"/>
      <w:r w:rsidRPr="008C5519">
        <w:rPr>
          <w:rFonts w:ascii="Times New Roman" w:eastAsia="Times New Roman" w:hAnsi="Times New Roman" w:cs="Times New Roman"/>
          <w:color w:val="000000"/>
          <w:sz w:val="16"/>
          <w:szCs w:val="16"/>
        </w:rPr>
        <w:t>абз</w:t>
      </w:r>
      <w:proofErr w:type="spellEnd"/>
      <w:r w:rsidRPr="008C5519">
        <w:rPr>
          <w:rFonts w:ascii="Times New Roman" w:eastAsia="Times New Roman" w:hAnsi="Times New Roman" w:cs="Times New Roman"/>
          <w:color w:val="000000"/>
          <w:sz w:val="16"/>
          <w:szCs w:val="16"/>
        </w:rPr>
        <w:t>. 2 подраздела "</w:t>
      </w:r>
      <w:hyperlink r:id="rId15" w:anchor="p_2174" w:history="1">
        <w:r w:rsidRPr="008F20A8">
          <w:rPr>
            <w:rFonts w:ascii="Times New Roman" w:eastAsia="Times New Roman" w:hAnsi="Times New Roman" w:cs="Times New Roman"/>
            <w:color w:val="2060A4"/>
            <w:sz w:val="16"/>
          </w:rPr>
          <w:t>Сроки и продолжительность</w:t>
        </w:r>
        <w:proofErr w:type="gramEnd"/>
        <w:r w:rsidRPr="008F20A8">
          <w:rPr>
            <w:rFonts w:ascii="Times New Roman" w:eastAsia="Times New Roman" w:hAnsi="Times New Roman" w:cs="Times New Roman"/>
            <w:color w:val="2060A4"/>
            <w:sz w:val="16"/>
          </w:rPr>
          <w:t xml:space="preserve"> выполнения итогового сочинения (изложения)</w:t>
        </w:r>
      </w:hyperlink>
      <w:r w:rsidRPr="008C5519">
        <w:rPr>
          <w:rFonts w:ascii="Times New Roman" w:eastAsia="Times New Roman" w:hAnsi="Times New Roman" w:cs="Times New Roman"/>
          <w:color w:val="000000"/>
          <w:sz w:val="16"/>
          <w:szCs w:val="16"/>
        </w:rPr>
        <w:t>" рекомендаций для образовательных организаций). Необходимо помнить, что время проведения инструктажа участников, заполнения регистрационных бланков и других подготовительных мероприятий не входит в продолжительность выполнения работы. </w:t>
      </w:r>
    </w:p>
    <w:p w:rsidR="008C5519" w:rsidRPr="008C5519" w:rsidRDefault="008C5519" w:rsidP="008F20A8">
      <w:pPr>
        <w:spacing w:after="58"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0060AE"/>
          <w:sz w:val="16"/>
        </w:rPr>
        <w:t>ВАЖНО ЗНАТЬ</w:t>
      </w:r>
    </w:p>
    <w:p w:rsidR="008C5519" w:rsidRPr="008C5519" w:rsidRDefault="008C5519" w:rsidP="008F20A8">
      <w:pPr>
        <w:spacing w:after="58"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Во время проведения сочинения (изложения), кроме бланка регистрации и бланков записи, на столе участника могут находиться только следующие вещи:</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ручка с чернилами черного цвета (</w:t>
      </w:r>
      <w:proofErr w:type="spellStart"/>
      <w:r w:rsidRPr="008C5519">
        <w:rPr>
          <w:rFonts w:ascii="Times New Roman" w:eastAsia="Times New Roman" w:hAnsi="Times New Roman" w:cs="Times New Roman"/>
          <w:color w:val="000000"/>
          <w:sz w:val="16"/>
          <w:szCs w:val="16"/>
        </w:rPr>
        <w:t>гелевая</w:t>
      </w:r>
      <w:proofErr w:type="spellEnd"/>
      <w:r w:rsidRPr="008C5519">
        <w:rPr>
          <w:rFonts w:ascii="Times New Roman" w:eastAsia="Times New Roman" w:hAnsi="Times New Roman" w:cs="Times New Roman"/>
          <w:color w:val="000000"/>
          <w:sz w:val="16"/>
          <w:szCs w:val="16"/>
        </w:rPr>
        <w:t>, капиллярная или перьевая);</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документ, удостоверяющий личность;</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лекарства и питание (при необходимости);</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орфографический словарь, выданный членами комиссии образовательной организации по проведению итогового сочинения. Участникам изложения, </w:t>
      </w:r>
      <w:proofErr w:type="gramStart"/>
      <w:r w:rsidRPr="008C5519">
        <w:rPr>
          <w:rFonts w:ascii="Times New Roman" w:eastAsia="Times New Roman" w:hAnsi="Times New Roman" w:cs="Times New Roman"/>
          <w:color w:val="000000"/>
          <w:sz w:val="16"/>
          <w:szCs w:val="16"/>
        </w:rPr>
        <w:t>помимо</w:t>
      </w:r>
      <w:proofErr w:type="gramEnd"/>
      <w:r w:rsidRPr="008C5519">
        <w:rPr>
          <w:rFonts w:ascii="Times New Roman" w:eastAsia="Times New Roman" w:hAnsi="Times New Roman" w:cs="Times New Roman"/>
          <w:color w:val="000000"/>
          <w:sz w:val="16"/>
          <w:szCs w:val="16"/>
        </w:rPr>
        <w:t xml:space="preserve"> орфографического, выдается толковый словарь. Пользоваться своими словарями нельзя;</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инструкция для участников итогового сочинения (изложения) (</w:t>
      </w:r>
      <w:hyperlink r:id="rId16" w:anchor="p_3976" w:history="1">
        <w:r w:rsidRPr="008F20A8">
          <w:rPr>
            <w:rFonts w:ascii="Times New Roman" w:eastAsia="Times New Roman" w:hAnsi="Times New Roman" w:cs="Times New Roman"/>
            <w:color w:val="2060A4"/>
            <w:sz w:val="16"/>
          </w:rPr>
          <w:t>приложение 4</w:t>
        </w:r>
      </w:hyperlink>
      <w:r w:rsidRPr="008C5519">
        <w:rPr>
          <w:rFonts w:ascii="Times New Roman" w:eastAsia="Times New Roman" w:hAnsi="Times New Roman" w:cs="Times New Roman"/>
          <w:color w:val="000000"/>
          <w:sz w:val="16"/>
          <w:szCs w:val="16"/>
        </w:rPr>
        <w:t>,</w:t>
      </w:r>
      <w:r w:rsidRPr="008F20A8">
        <w:rPr>
          <w:rFonts w:ascii="Times New Roman" w:eastAsia="Times New Roman" w:hAnsi="Times New Roman" w:cs="Times New Roman"/>
          <w:color w:val="000000"/>
          <w:sz w:val="16"/>
        </w:rPr>
        <w:t> </w:t>
      </w:r>
      <w:hyperlink r:id="rId17" w:anchor="p_3978" w:history="1">
        <w:r w:rsidRPr="008F20A8">
          <w:rPr>
            <w:rFonts w:ascii="Times New Roman" w:eastAsia="Times New Roman" w:hAnsi="Times New Roman" w:cs="Times New Roman"/>
            <w:color w:val="2060A4"/>
            <w:sz w:val="16"/>
          </w:rPr>
          <w:t>приложение 5</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к рекомендациям для участников);</w:t>
      </w:r>
    </w:p>
    <w:p w:rsidR="008C5519" w:rsidRPr="008C5519" w:rsidRDefault="008C5519" w:rsidP="008F20A8">
      <w:pPr>
        <w:numPr>
          <w:ilvl w:val="0"/>
          <w:numId w:val="1"/>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lastRenderedPageBreak/>
        <w:t>черновики (</w:t>
      </w:r>
      <w:proofErr w:type="gramStart"/>
      <w:r w:rsidRPr="008C5519">
        <w:rPr>
          <w:rFonts w:ascii="Times New Roman" w:eastAsia="Times New Roman" w:hAnsi="Times New Roman" w:cs="Times New Roman"/>
          <w:color w:val="000000"/>
          <w:sz w:val="16"/>
          <w:szCs w:val="16"/>
        </w:rPr>
        <w:t>выполняющим</w:t>
      </w:r>
      <w:proofErr w:type="gramEnd"/>
      <w:r w:rsidRPr="008C5519">
        <w:rPr>
          <w:rFonts w:ascii="Times New Roman" w:eastAsia="Times New Roman" w:hAnsi="Times New Roman" w:cs="Times New Roman"/>
          <w:color w:val="000000"/>
          <w:sz w:val="16"/>
          <w:szCs w:val="16"/>
        </w:rPr>
        <w:t xml:space="preserve"> работу необходимо перенести написанное на них в бланки записи, поскольку сами черновики не проверяются).</w:t>
      </w:r>
    </w:p>
    <w:p w:rsidR="008C5519" w:rsidRPr="008C5519" w:rsidRDefault="008C5519" w:rsidP="008F20A8">
      <w:pPr>
        <w:spacing w:after="173"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Запрещается иметь при себе любые средства связи, фото-, аудио- и видеоаппаратуру, справочные материалы или какие-либо письменные заметки.</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Особое внимание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уделил</w:t>
      </w:r>
      <w:r w:rsidRPr="008F20A8">
        <w:rPr>
          <w:rFonts w:ascii="Times New Roman" w:eastAsia="Times New Roman" w:hAnsi="Times New Roman" w:cs="Times New Roman"/>
          <w:color w:val="000000"/>
          <w:sz w:val="16"/>
        </w:rPr>
        <w:t> </w:t>
      </w:r>
      <w:hyperlink r:id="rId18" w:history="1">
        <w:r w:rsidRPr="008F20A8">
          <w:rPr>
            <w:rFonts w:ascii="Times New Roman" w:eastAsia="Times New Roman" w:hAnsi="Times New Roman" w:cs="Times New Roman"/>
            <w:color w:val="2060A4"/>
            <w:sz w:val="16"/>
          </w:rPr>
          <w:t>особенностям проведения</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 xml:space="preserve">сочинения и изложения для учащихся с ограниченными возможностями здоровья, инвалидов, детей, обучающихся на дому, а также нуждающихся в длительном лечении и находящихся в образовательных организациях, в том числе санаторно-курортных, которыми проводятся необходимые лечебные, реабилитационные и оздоровительные мероприятия. Для перечисленных граждан должны быть созданы условия, учитывающие состояние их здоровья. Речь идет как об обеспечении доступа таких лиц в помещения, в которых пишутся работы, и нахождения в них (наличие пандусов, поручней, расширенных дверных проемов и др.), так и об оборудовании кабинетов для комфортного выполнения ими сочинения или изложения. Например, для слабослышащих участников кабинет должен быть оборудован звукоусиливающей аппаратурой, для глухих в случае необходимости может привлекаться </w:t>
      </w:r>
      <w:proofErr w:type="spellStart"/>
      <w:r w:rsidRPr="008C5519">
        <w:rPr>
          <w:rFonts w:ascii="Times New Roman" w:eastAsia="Times New Roman" w:hAnsi="Times New Roman" w:cs="Times New Roman"/>
          <w:color w:val="000000"/>
          <w:sz w:val="16"/>
          <w:szCs w:val="16"/>
        </w:rPr>
        <w:t>сурдопереводчик</w:t>
      </w:r>
      <w:proofErr w:type="spellEnd"/>
      <w:r w:rsidRPr="008C5519">
        <w:rPr>
          <w:rFonts w:ascii="Times New Roman" w:eastAsia="Times New Roman" w:hAnsi="Times New Roman" w:cs="Times New Roman"/>
          <w:color w:val="000000"/>
          <w:sz w:val="16"/>
          <w:szCs w:val="16"/>
        </w:rPr>
        <w:t xml:space="preserve">. Для слабовидящих в кабинете должно обеспечиваться хорошее освещение, выдаваемые им материалы распечатаны в двух экземплярах – стандартные и с использованием большего шрифта и бланков увеличенного формата. Тексты изложений или темы сочинений, предлагаемые слепым участникам, оформляются шрифтом Брайля, этим же шрифтом (с использованием предоставленных необходимых принадлежностей: </w:t>
      </w:r>
      <w:proofErr w:type="spellStart"/>
      <w:r w:rsidRPr="008C5519">
        <w:rPr>
          <w:rFonts w:ascii="Times New Roman" w:eastAsia="Times New Roman" w:hAnsi="Times New Roman" w:cs="Times New Roman"/>
          <w:color w:val="000000"/>
          <w:sz w:val="16"/>
          <w:szCs w:val="16"/>
        </w:rPr>
        <w:t>брайлевский</w:t>
      </w:r>
      <w:proofErr w:type="spellEnd"/>
      <w:r w:rsidRPr="008C5519">
        <w:rPr>
          <w:rFonts w:ascii="Times New Roman" w:eastAsia="Times New Roman" w:hAnsi="Times New Roman" w:cs="Times New Roman"/>
          <w:color w:val="000000"/>
          <w:sz w:val="16"/>
          <w:szCs w:val="16"/>
        </w:rPr>
        <w:t xml:space="preserve"> прибор и грифель и т. д.) либо на компьютере такие участники вправе написать само изложение либо сочинение. На компьютере же могут выполнять работу и участники с нарушением опорно-двигательного аппарата. Глухим участникам, пишущим изложение, те</w:t>
      </w:r>
      <w:proofErr w:type="gramStart"/>
      <w:r w:rsidRPr="008C5519">
        <w:rPr>
          <w:rFonts w:ascii="Times New Roman" w:eastAsia="Times New Roman" w:hAnsi="Times New Roman" w:cs="Times New Roman"/>
          <w:color w:val="000000"/>
          <w:sz w:val="16"/>
          <w:szCs w:val="16"/>
        </w:rPr>
        <w:t>кст пр</w:t>
      </w:r>
      <w:proofErr w:type="gramEnd"/>
      <w:r w:rsidRPr="008C5519">
        <w:rPr>
          <w:rFonts w:ascii="Times New Roman" w:eastAsia="Times New Roman" w:hAnsi="Times New Roman" w:cs="Times New Roman"/>
          <w:color w:val="000000"/>
          <w:sz w:val="16"/>
          <w:szCs w:val="16"/>
        </w:rPr>
        <w:t>едоставляется в письменной форме на 40 мин., после чего они должны его сдать и приступить к написанию изложения. Важно, что сочинение или изложение для учащихся с ограниченными возможностями здоровья и инвалидов может проводиться в устной форме. При этом обязательна аудиозапись ответов и их протоколирование (</w:t>
      </w:r>
      <w:proofErr w:type="spellStart"/>
      <w:r w:rsidRPr="008C5519">
        <w:rPr>
          <w:rFonts w:ascii="Times New Roman" w:eastAsia="Times New Roman" w:hAnsi="Times New Roman" w:cs="Times New Roman"/>
          <w:color w:val="000000"/>
          <w:sz w:val="16"/>
          <w:szCs w:val="16"/>
        </w:rPr>
        <w:t>абз</w:t>
      </w:r>
      <w:proofErr w:type="spellEnd"/>
      <w:r w:rsidRPr="008C5519">
        <w:rPr>
          <w:rFonts w:ascii="Times New Roman" w:eastAsia="Times New Roman" w:hAnsi="Times New Roman" w:cs="Times New Roman"/>
          <w:color w:val="000000"/>
          <w:sz w:val="16"/>
          <w:szCs w:val="16"/>
        </w:rPr>
        <w:t>. 25 подраздела "</w:t>
      </w:r>
      <w:hyperlink r:id="rId19" w:anchor="p_2893" w:history="1">
        <w:r w:rsidRPr="008F20A8">
          <w:rPr>
            <w:rFonts w:ascii="Times New Roman" w:eastAsia="Times New Roman" w:hAnsi="Times New Roman" w:cs="Times New Roman"/>
            <w:color w:val="2060A4"/>
            <w:sz w:val="16"/>
          </w:rPr>
          <w:t xml:space="preserve">Особенности проведения итогового сочинения (изложения) для лиц с ограниченными возможностями </w:t>
        </w:r>
        <w:proofErr w:type="spellStart"/>
        <w:r w:rsidRPr="008F20A8">
          <w:rPr>
            <w:rFonts w:ascii="Times New Roman" w:eastAsia="Times New Roman" w:hAnsi="Times New Roman" w:cs="Times New Roman"/>
            <w:color w:val="2060A4"/>
            <w:sz w:val="16"/>
          </w:rPr>
          <w:t>здоровья</w:t>
        </w:r>
        <w:proofErr w:type="gramStart"/>
        <w:r w:rsidRPr="008F20A8">
          <w:rPr>
            <w:rFonts w:ascii="Times New Roman" w:eastAsia="Times New Roman" w:hAnsi="Times New Roman" w:cs="Times New Roman"/>
            <w:color w:val="2060A4"/>
            <w:sz w:val="16"/>
          </w:rPr>
          <w:t>,д</w:t>
        </w:r>
        <w:proofErr w:type="gramEnd"/>
        <w:r w:rsidRPr="008F20A8">
          <w:rPr>
            <w:rFonts w:ascii="Times New Roman" w:eastAsia="Times New Roman" w:hAnsi="Times New Roman" w:cs="Times New Roman"/>
            <w:color w:val="2060A4"/>
            <w:sz w:val="16"/>
          </w:rPr>
          <w:t>етей-инвалидов</w:t>
        </w:r>
        <w:proofErr w:type="spellEnd"/>
        <w:r w:rsidRPr="008F20A8">
          <w:rPr>
            <w:rFonts w:ascii="Times New Roman" w:eastAsia="Times New Roman" w:hAnsi="Times New Roman" w:cs="Times New Roman"/>
            <w:color w:val="2060A4"/>
            <w:sz w:val="16"/>
          </w:rPr>
          <w:t xml:space="preserve"> и инвалидов</w:t>
        </w:r>
      </w:hyperlink>
      <w:r w:rsidRPr="008C5519">
        <w:rPr>
          <w:rFonts w:ascii="Times New Roman" w:eastAsia="Times New Roman" w:hAnsi="Times New Roman" w:cs="Times New Roman"/>
          <w:color w:val="000000"/>
          <w:sz w:val="16"/>
          <w:szCs w:val="16"/>
        </w:rPr>
        <w:t>" рекомендаций для участников).</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b/>
          <w:bCs/>
          <w:color w:val="0060AE"/>
        </w:rPr>
        <w:t>Оценка сочинения (изложения)</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Итоговое сочинение и изложение оцениваются не в баллах, а по системе "зачет"/"незачет". Получившие "незачет" учащиеся могут переписать сочинение или изложение, но не более двух раз в соответствующем учебном году. В этом учебном году, напомним, – 3 февраля и 4 мая 2016 года.</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Оценивается сочинение или изложение по специально утвержденным критериям (</w:t>
      </w:r>
      <w:hyperlink r:id="rId20" w:anchor="p_3980" w:history="1">
        <w:r w:rsidRPr="008F20A8">
          <w:rPr>
            <w:rFonts w:ascii="Times New Roman" w:eastAsia="Times New Roman" w:hAnsi="Times New Roman" w:cs="Times New Roman"/>
            <w:color w:val="2060A4"/>
            <w:sz w:val="16"/>
          </w:rPr>
          <w:t>приложение 6</w:t>
        </w:r>
      </w:hyperlink>
      <w:r w:rsidRPr="008C5519">
        <w:rPr>
          <w:rFonts w:ascii="Times New Roman" w:eastAsia="Times New Roman" w:hAnsi="Times New Roman" w:cs="Times New Roman"/>
          <w:color w:val="000000"/>
          <w:sz w:val="16"/>
          <w:szCs w:val="16"/>
        </w:rPr>
        <w:t>,</w:t>
      </w:r>
      <w:r w:rsidRPr="008F20A8">
        <w:rPr>
          <w:rFonts w:ascii="Times New Roman" w:eastAsia="Times New Roman" w:hAnsi="Times New Roman" w:cs="Times New Roman"/>
          <w:color w:val="000000"/>
          <w:sz w:val="16"/>
        </w:rPr>
        <w:t> </w:t>
      </w:r>
      <w:hyperlink r:id="rId21" w:anchor="p_3982" w:history="1">
        <w:r w:rsidRPr="008F20A8">
          <w:rPr>
            <w:rFonts w:ascii="Times New Roman" w:eastAsia="Times New Roman" w:hAnsi="Times New Roman" w:cs="Times New Roman"/>
            <w:color w:val="2060A4"/>
            <w:sz w:val="16"/>
          </w:rPr>
          <w:t>приложение 7</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к рекомендациям для участников). Однако перед тем</w:t>
      </w:r>
      <w:proofErr w:type="gramStart"/>
      <w:r w:rsidRPr="008C5519">
        <w:rPr>
          <w:rFonts w:ascii="Times New Roman" w:eastAsia="Times New Roman" w:hAnsi="Times New Roman" w:cs="Times New Roman"/>
          <w:color w:val="000000"/>
          <w:sz w:val="16"/>
          <w:szCs w:val="16"/>
        </w:rPr>
        <w:t>,</w:t>
      </w:r>
      <w:proofErr w:type="gramEnd"/>
      <w:r w:rsidRPr="008C5519">
        <w:rPr>
          <w:rFonts w:ascii="Times New Roman" w:eastAsia="Times New Roman" w:hAnsi="Times New Roman" w:cs="Times New Roman"/>
          <w:color w:val="000000"/>
          <w:sz w:val="16"/>
          <w:szCs w:val="16"/>
        </w:rPr>
        <w:t xml:space="preserve"> как приступить к оценке по этим критериям, эксперт определяет, соответствует ли работа требованиям к объему и самостоятельности выполнения. Так, если в сочинении меньше 250 слов, а в изложении меньше 150 (служебные слова: предлоги, союзы, частицы – тоже учитываются), за работу выставляется "незачет" без дальнейшей проверки. То же самое происходит, когда работа написана не самостоятельно, то </w:t>
      </w:r>
      <w:proofErr w:type="gramStart"/>
      <w:r w:rsidRPr="008C5519">
        <w:rPr>
          <w:rFonts w:ascii="Times New Roman" w:eastAsia="Times New Roman" w:hAnsi="Times New Roman" w:cs="Times New Roman"/>
          <w:color w:val="000000"/>
          <w:sz w:val="16"/>
          <w:szCs w:val="16"/>
        </w:rPr>
        <w:t>есть</w:t>
      </w:r>
      <w:proofErr w:type="gramEnd"/>
      <w:r w:rsidRPr="008C5519">
        <w:rPr>
          <w:rFonts w:ascii="Times New Roman" w:eastAsia="Times New Roman" w:hAnsi="Times New Roman" w:cs="Times New Roman"/>
          <w:color w:val="000000"/>
          <w:sz w:val="16"/>
          <w:szCs w:val="16"/>
        </w:rPr>
        <w:t xml:space="preserve"> списана у другого участника или из какого-либо другого источника (изложение – с исходного текста). При этом в сочинении можно прямо или косвенно цитировать фрагменты из произведений, но с обязательной ссылкой на источник, то есть указанием автора и названия (в свободной форме), и так, чтобы объем цитирования не превышал собственный текст.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Если работа отвечает требованиям и к объему, и к самостоятельности текста, эксперт переходит к ее оценке по пяти установленным критериям (</w:t>
      </w:r>
      <w:proofErr w:type="gramStart"/>
      <w:r w:rsidRPr="008C5519">
        <w:rPr>
          <w:rFonts w:ascii="Times New Roman" w:eastAsia="Times New Roman" w:hAnsi="Times New Roman" w:cs="Times New Roman"/>
          <w:color w:val="000000"/>
          <w:sz w:val="16"/>
          <w:szCs w:val="16"/>
        </w:rPr>
        <w:t>см</w:t>
      </w:r>
      <w:proofErr w:type="gramEnd"/>
      <w:r w:rsidRPr="008C5519">
        <w:rPr>
          <w:rFonts w:ascii="Times New Roman" w:eastAsia="Times New Roman" w:hAnsi="Times New Roman" w:cs="Times New Roman"/>
          <w:color w:val="000000"/>
          <w:sz w:val="16"/>
          <w:szCs w:val="16"/>
        </w:rPr>
        <w:t>. таблицу).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i/>
          <w:iCs/>
          <w:color w:val="000000"/>
          <w:sz w:val="16"/>
        </w:rPr>
        <w:t>Таблица. Критерии оценки итогового сочинения (изложения)</w:t>
      </w:r>
    </w:p>
    <w:tbl>
      <w:tblPr>
        <w:tblW w:w="10648" w:type="dxa"/>
        <w:tblBorders>
          <w:right w:val="single" w:sz="4" w:space="0" w:color="818284"/>
        </w:tblBorders>
        <w:tblCellMar>
          <w:top w:w="15" w:type="dxa"/>
          <w:left w:w="15" w:type="dxa"/>
          <w:bottom w:w="15" w:type="dxa"/>
          <w:right w:w="15" w:type="dxa"/>
        </w:tblCellMar>
        <w:tblLook w:val="04A0"/>
      </w:tblPr>
      <w:tblGrid>
        <w:gridCol w:w="1716"/>
        <w:gridCol w:w="2268"/>
        <w:gridCol w:w="1985"/>
        <w:gridCol w:w="1704"/>
        <w:gridCol w:w="1559"/>
        <w:gridCol w:w="1416"/>
      </w:tblGrid>
      <w:tr w:rsidR="008C5519" w:rsidRPr="008F20A8" w:rsidTr="008C5519">
        <w:tc>
          <w:tcPr>
            <w:tcW w:w="806" w:type="pct"/>
            <w:vMerge w:val="restar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Вид работы</w:t>
            </w:r>
          </w:p>
        </w:tc>
        <w:tc>
          <w:tcPr>
            <w:tcW w:w="4194" w:type="pct"/>
            <w:gridSpan w:val="5"/>
            <w:tcBorders>
              <w:top w:val="single" w:sz="4" w:space="0" w:color="auto"/>
              <w:left w:val="single" w:sz="4" w:space="0" w:color="818284"/>
              <w:bottom w:val="single" w:sz="4" w:space="0" w:color="818284"/>
            </w:tcBorders>
            <w:shd w:val="clear" w:color="auto" w:fill="B0C4DE"/>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Критерий оценки</w:t>
            </w:r>
          </w:p>
        </w:tc>
      </w:tr>
      <w:tr w:rsidR="008C5519" w:rsidRPr="008F20A8" w:rsidTr="008C5519">
        <w:tc>
          <w:tcPr>
            <w:tcW w:w="806" w:type="pct"/>
            <w:vMerge/>
            <w:tcBorders>
              <w:top w:val="single" w:sz="4" w:space="0" w:color="auto"/>
              <w:left w:val="single" w:sz="4" w:space="0" w:color="818284"/>
              <w:bottom w:val="single" w:sz="4" w:space="0" w:color="818284"/>
            </w:tcBorders>
            <w:vAlign w:val="center"/>
            <w:hideMark/>
          </w:tcPr>
          <w:p w:rsidR="008C5519" w:rsidRPr="008C5519" w:rsidRDefault="008C5519" w:rsidP="008F20A8">
            <w:pPr>
              <w:spacing w:after="0" w:line="240" w:lineRule="auto"/>
              <w:jc w:val="both"/>
              <w:rPr>
                <w:rFonts w:ascii="Times New Roman" w:eastAsia="Times New Roman" w:hAnsi="Times New Roman" w:cs="Times New Roman"/>
                <w:b/>
                <w:bCs/>
                <w:color w:val="000000"/>
                <w:sz w:val="16"/>
                <w:szCs w:val="16"/>
              </w:rPr>
            </w:pPr>
          </w:p>
        </w:tc>
        <w:tc>
          <w:tcPr>
            <w:tcW w:w="1065" w:type="pc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 1</w:t>
            </w:r>
          </w:p>
        </w:tc>
        <w:tc>
          <w:tcPr>
            <w:tcW w:w="932" w:type="pc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 2</w:t>
            </w:r>
          </w:p>
        </w:tc>
        <w:tc>
          <w:tcPr>
            <w:tcW w:w="800" w:type="pc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 3</w:t>
            </w:r>
          </w:p>
        </w:tc>
        <w:tc>
          <w:tcPr>
            <w:tcW w:w="732" w:type="pc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 4</w:t>
            </w:r>
          </w:p>
        </w:tc>
        <w:tc>
          <w:tcPr>
            <w:tcW w:w="665" w:type="pct"/>
            <w:tcBorders>
              <w:top w:val="single" w:sz="4" w:space="0" w:color="auto"/>
              <w:left w:val="single" w:sz="4" w:space="0" w:color="818284"/>
              <w:bottom w:val="single" w:sz="4" w:space="0" w:color="818284"/>
            </w:tcBorders>
            <w:shd w:val="clear" w:color="auto" w:fill="B0C4DE"/>
            <w:vAlign w:val="center"/>
            <w:hideMark/>
          </w:tcPr>
          <w:p w:rsidR="008C5519" w:rsidRPr="008C5519" w:rsidRDefault="008C5519" w:rsidP="008F20A8">
            <w:pPr>
              <w:spacing w:after="196" w:line="300" w:lineRule="atLeast"/>
              <w:jc w:val="both"/>
              <w:rPr>
                <w:rFonts w:ascii="Times New Roman" w:eastAsia="Times New Roman" w:hAnsi="Times New Roman" w:cs="Times New Roman"/>
                <w:b/>
                <w:bCs/>
                <w:color w:val="000000"/>
                <w:sz w:val="16"/>
                <w:szCs w:val="16"/>
              </w:rPr>
            </w:pPr>
            <w:r w:rsidRPr="008C5519">
              <w:rPr>
                <w:rFonts w:ascii="Times New Roman" w:eastAsia="Times New Roman" w:hAnsi="Times New Roman" w:cs="Times New Roman"/>
                <w:b/>
                <w:bCs/>
                <w:color w:val="000000"/>
                <w:sz w:val="16"/>
                <w:szCs w:val="16"/>
              </w:rPr>
              <w:t>№ 5</w:t>
            </w:r>
          </w:p>
        </w:tc>
      </w:tr>
      <w:tr w:rsidR="008C5519" w:rsidRPr="008F20A8" w:rsidTr="008C5519">
        <w:tc>
          <w:tcPr>
            <w:tcW w:w="806"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Сочинение</w:t>
            </w:r>
          </w:p>
        </w:tc>
        <w:tc>
          <w:tcPr>
            <w:tcW w:w="1065"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Соответствие теме</w:t>
            </w:r>
          </w:p>
        </w:tc>
        <w:tc>
          <w:tcPr>
            <w:tcW w:w="932"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Аргументация. Привлечение литературного материала</w:t>
            </w:r>
          </w:p>
        </w:tc>
        <w:tc>
          <w:tcPr>
            <w:tcW w:w="800"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Композиция и логика рассуждения</w:t>
            </w:r>
          </w:p>
        </w:tc>
        <w:tc>
          <w:tcPr>
            <w:tcW w:w="732" w:type="pct"/>
            <w:vMerge w:val="restart"/>
            <w:tcBorders>
              <w:left w:val="single" w:sz="4" w:space="0" w:color="818284"/>
              <w:bottom w:val="single" w:sz="4" w:space="0" w:color="818284"/>
            </w:tcBorders>
            <w:tcMar>
              <w:top w:w="15" w:type="dxa"/>
              <w:left w:w="138" w:type="dxa"/>
              <w:bottom w:w="15" w:type="dxa"/>
              <w:right w:w="15" w:type="dxa"/>
            </w:tcMar>
            <w:vAlign w:val="cente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Качество письменной речи</w:t>
            </w:r>
          </w:p>
        </w:tc>
        <w:tc>
          <w:tcPr>
            <w:tcW w:w="665" w:type="pct"/>
            <w:vMerge w:val="restart"/>
            <w:tcBorders>
              <w:left w:val="single" w:sz="4" w:space="0" w:color="818284"/>
              <w:bottom w:val="single" w:sz="4" w:space="0" w:color="818284"/>
            </w:tcBorders>
            <w:tcMar>
              <w:top w:w="15" w:type="dxa"/>
              <w:left w:w="138" w:type="dxa"/>
              <w:bottom w:w="15" w:type="dxa"/>
              <w:right w:w="15" w:type="dxa"/>
            </w:tcMar>
            <w:vAlign w:val="cente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Грамотность</w:t>
            </w:r>
          </w:p>
        </w:tc>
      </w:tr>
      <w:tr w:rsidR="008C5519" w:rsidRPr="008F20A8" w:rsidTr="008C5519">
        <w:tc>
          <w:tcPr>
            <w:tcW w:w="806"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Изложение</w:t>
            </w:r>
          </w:p>
        </w:tc>
        <w:tc>
          <w:tcPr>
            <w:tcW w:w="1065"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Содержание изложения</w:t>
            </w:r>
          </w:p>
        </w:tc>
        <w:tc>
          <w:tcPr>
            <w:tcW w:w="932"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Логичность изложения</w:t>
            </w:r>
          </w:p>
        </w:tc>
        <w:tc>
          <w:tcPr>
            <w:tcW w:w="800" w:type="pct"/>
            <w:tcBorders>
              <w:left w:val="single" w:sz="4" w:space="0" w:color="818284"/>
              <w:bottom w:val="single" w:sz="4" w:space="0" w:color="818284"/>
            </w:tcBorders>
            <w:tcMar>
              <w:top w:w="15" w:type="dxa"/>
              <w:left w:w="138" w:type="dxa"/>
              <w:bottom w:w="15" w:type="dxa"/>
              <w:right w:w="15" w:type="dxa"/>
            </w:tcMar>
            <w:hideMark/>
          </w:tcPr>
          <w:p w:rsidR="008C5519" w:rsidRPr="008C5519" w:rsidRDefault="008C5519" w:rsidP="008F20A8">
            <w:pPr>
              <w:spacing w:after="196" w:line="207"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Использование элементов стиля исходного текста</w:t>
            </w:r>
          </w:p>
        </w:tc>
        <w:tc>
          <w:tcPr>
            <w:tcW w:w="732" w:type="pct"/>
            <w:vMerge/>
            <w:tcBorders>
              <w:left w:val="single" w:sz="4" w:space="0" w:color="818284"/>
              <w:bottom w:val="single" w:sz="4" w:space="0" w:color="818284"/>
            </w:tcBorders>
            <w:vAlign w:val="center"/>
            <w:hideMark/>
          </w:tcPr>
          <w:p w:rsidR="008C5519" w:rsidRPr="008C5519" w:rsidRDefault="008C5519" w:rsidP="008F20A8">
            <w:pPr>
              <w:spacing w:after="0" w:line="240" w:lineRule="auto"/>
              <w:jc w:val="both"/>
              <w:rPr>
                <w:rFonts w:ascii="Times New Roman" w:eastAsia="Times New Roman" w:hAnsi="Times New Roman" w:cs="Times New Roman"/>
                <w:color w:val="000000"/>
                <w:sz w:val="16"/>
                <w:szCs w:val="16"/>
              </w:rPr>
            </w:pPr>
          </w:p>
        </w:tc>
        <w:tc>
          <w:tcPr>
            <w:tcW w:w="665" w:type="pct"/>
            <w:vMerge/>
            <w:tcBorders>
              <w:left w:val="single" w:sz="4" w:space="0" w:color="818284"/>
              <w:bottom w:val="single" w:sz="4" w:space="0" w:color="818284"/>
            </w:tcBorders>
            <w:vAlign w:val="center"/>
            <w:hideMark/>
          </w:tcPr>
          <w:p w:rsidR="008C5519" w:rsidRPr="008C5519" w:rsidRDefault="008C5519" w:rsidP="008F20A8">
            <w:pPr>
              <w:spacing w:after="0" w:line="240" w:lineRule="auto"/>
              <w:jc w:val="both"/>
              <w:rPr>
                <w:rFonts w:ascii="Times New Roman" w:eastAsia="Times New Roman" w:hAnsi="Times New Roman" w:cs="Times New Roman"/>
                <w:color w:val="000000"/>
                <w:sz w:val="16"/>
                <w:szCs w:val="16"/>
              </w:rPr>
            </w:pPr>
          </w:p>
        </w:tc>
      </w:tr>
    </w:tbl>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И для сочинения, и для изложения наиболее важны критерии № 1 и № 2. Чтобы получить "зачет" за всю работу, необходимо чтобы "зачет" стоял по обоим этим критериям и хотя бы по одному из трех других. "Незачет" по критерию № 1 для сочинения ставится, если работа вообще не соответствует теме или в ней не прослеживается коммуникативный замысел сочинения, то есть конкретная цель высказывания автора (утверждает ли он что-либо или, напротив, отрицает, одобряет или осуждает и т. д.). Изложение признается не соответствующим критерию № 1 в случае существенного искажения содержания исходного текста. "Незачетом" по критерию № 2 сочинение оценивается, если оно написано без привлечения литературного материала, или в нем </w:t>
      </w:r>
      <w:proofErr w:type="gramStart"/>
      <w:r w:rsidRPr="008C5519">
        <w:rPr>
          <w:rFonts w:ascii="Times New Roman" w:eastAsia="Times New Roman" w:hAnsi="Times New Roman" w:cs="Times New Roman"/>
          <w:color w:val="000000"/>
          <w:sz w:val="16"/>
          <w:szCs w:val="16"/>
        </w:rPr>
        <w:t>существенно искажено</w:t>
      </w:r>
      <w:proofErr w:type="gramEnd"/>
      <w:r w:rsidRPr="008C5519">
        <w:rPr>
          <w:rFonts w:ascii="Times New Roman" w:eastAsia="Times New Roman" w:hAnsi="Times New Roman" w:cs="Times New Roman"/>
          <w:color w:val="000000"/>
          <w:sz w:val="16"/>
          <w:szCs w:val="16"/>
        </w:rPr>
        <w:t xml:space="preserve"> содержание произведения, или произведения только упоминаются в работе, но не становятся опорой для рассуждения. "Незачет" по критерию № 2 для изложения ставится, только если грубые логические нарушения мешают пониманию смысла изложенного.</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Что же касается, например, грамотности, то она тоже может быть далеко не идеальной для получения "зачета" – он не ставится только тогда, когда грамматические, орфографические и пунктуационные ошибки, допущенные в работе, затрудняют чтение и понимание текста. Для объективности этого критерия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определил максимально допустимое для получения "зачета" количество ошибок на 100 слов текста: пять для сочинения и 10 для изложения.</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Чтобы сделать оценку работ по указанным критериям более понятной,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привел рекомендации по квалификации ошибок при проверке итоговых сочинений и изложений</w:t>
      </w:r>
      <w:bookmarkStart w:id="0" w:name="sdfootnote1anc"/>
      <w:r w:rsidRPr="008C5519">
        <w:rPr>
          <w:rFonts w:ascii="Times New Roman" w:eastAsia="Times New Roman" w:hAnsi="Times New Roman" w:cs="Times New Roman"/>
          <w:color w:val="26579A"/>
          <w:sz w:val="16"/>
          <w:szCs w:val="16"/>
          <w:vertAlign w:val="superscript"/>
        </w:rPr>
        <w:fldChar w:fldCharType="begin"/>
      </w:r>
      <w:r w:rsidRPr="008C5519">
        <w:rPr>
          <w:rFonts w:ascii="Times New Roman" w:eastAsia="Times New Roman" w:hAnsi="Times New Roman" w:cs="Times New Roman"/>
          <w:color w:val="26579A"/>
          <w:sz w:val="16"/>
          <w:szCs w:val="16"/>
          <w:vertAlign w:val="superscript"/>
        </w:rPr>
        <w:instrText xml:space="preserve"> HYPERLINK "http://www.garant.ru/article/671241/" \l "sdfootnote1sym" </w:instrText>
      </w:r>
      <w:r w:rsidRPr="008C5519">
        <w:rPr>
          <w:rFonts w:ascii="Times New Roman" w:eastAsia="Times New Roman" w:hAnsi="Times New Roman" w:cs="Times New Roman"/>
          <w:color w:val="26579A"/>
          <w:sz w:val="16"/>
          <w:szCs w:val="16"/>
          <w:vertAlign w:val="superscript"/>
        </w:rPr>
        <w:fldChar w:fldCharType="separate"/>
      </w:r>
      <w:r w:rsidRPr="008F20A8">
        <w:rPr>
          <w:rFonts w:ascii="Times New Roman" w:eastAsia="Times New Roman" w:hAnsi="Times New Roman" w:cs="Times New Roman"/>
          <w:color w:val="2060A4"/>
          <w:sz w:val="16"/>
          <w:vertAlign w:val="superscript"/>
        </w:rPr>
        <w:t>1</w:t>
      </w:r>
      <w:r w:rsidRPr="008C5519">
        <w:rPr>
          <w:rFonts w:ascii="Times New Roman" w:eastAsia="Times New Roman" w:hAnsi="Times New Roman" w:cs="Times New Roman"/>
          <w:color w:val="26579A"/>
          <w:sz w:val="16"/>
          <w:szCs w:val="16"/>
          <w:vertAlign w:val="superscript"/>
        </w:rPr>
        <w:fldChar w:fldCharType="end"/>
      </w:r>
      <w:bookmarkEnd w:id="0"/>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(раздел "</w:t>
      </w:r>
      <w:hyperlink r:id="rId22" w:anchor="p_1389" w:history="1">
        <w:r w:rsidRPr="008F20A8">
          <w:rPr>
            <w:rFonts w:ascii="Times New Roman" w:eastAsia="Times New Roman" w:hAnsi="Times New Roman" w:cs="Times New Roman"/>
            <w:color w:val="2060A4"/>
            <w:sz w:val="16"/>
          </w:rPr>
          <w:t>Методические рекомендации для экспертов, участвующих в проверке итогового сочинения (изложения)</w:t>
        </w:r>
      </w:hyperlink>
      <w:r w:rsidRPr="008C5519">
        <w:rPr>
          <w:rFonts w:ascii="Times New Roman" w:eastAsia="Times New Roman" w:hAnsi="Times New Roman" w:cs="Times New Roman"/>
          <w:color w:val="000000"/>
          <w:sz w:val="16"/>
          <w:szCs w:val="16"/>
        </w:rPr>
        <w:t>"; далее – рекомендации для экспертов). Так, установлено, что при проверке работ учитываются следующие категории ошибок.</w:t>
      </w:r>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1</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Фактические ошибки. Связаны с незнанием или слабым знанием текстов художественных произведений, их культурно-исторического контекста, а также неправильным или неточным использованием терминов и понятий. К ним </w:t>
      </w:r>
      <w:proofErr w:type="gramStart"/>
      <w:r w:rsidRPr="008C5519">
        <w:rPr>
          <w:rFonts w:ascii="Times New Roman" w:eastAsia="Times New Roman" w:hAnsi="Times New Roman" w:cs="Times New Roman"/>
          <w:color w:val="000000"/>
          <w:sz w:val="16"/>
          <w:szCs w:val="16"/>
        </w:rPr>
        <w:t>относятся</w:t>
      </w:r>
      <w:proofErr w:type="gramEnd"/>
      <w:r w:rsidRPr="008C5519">
        <w:rPr>
          <w:rFonts w:ascii="Times New Roman" w:eastAsia="Times New Roman" w:hAnsi="Times New Roman" w:cs="Times New Roman"/>
          <w:color w:val="000000"/>
          <w:sz w:val="16"/>
          <w:szCs w:val="16"/>
        </w:rPr>
        <w:t xml:space="preserve"> указание неверного времени создания произведения или жизни автора, неверное именование героев, ошибки в установлении причин и следствий событий и др. Фактические ошибки бывают грубыми и негрубыми. Грубая ошибка – когда ученик путает, к примеру, Татьяну и Ольгу Лариных, а негрубая (неточность) – если княжна Мери упоминается как княжна Мэри. Негрубые ошибки не оказывают существенного влияния на понимание текста, поэтому не могут служить основанием для выставления "незачета".</w:t>
      </w:r>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2</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lastRenderedPageBreak/>
        <w:t xml:space="preserve">Логические ошибки. Представляют собой нарушение законов логики как в пределах одного предложения, суждения, так и в пределах целого текста, например при </w:t>
      </w:r>
      <w:proofErr w:type="gramStart"/>
      <w:r w:rsidRPr="008C5519">
        <w:rPr>
          <w:rFonts w:ascii="Times New Roman" w:eastAsia="Times New Roman" w:hAnsi="Times New Roman" w:cs="Times New Roman"/>
          <w:color w:val="000000"/>
          <w:sz w:val="16"/>
          <w:szCs w:val="16"/>
        </w:rPr>
        <w:t>подмене</w:t>
      </w:r>
      <w:proofErr w:type="gramEnd"/>
      <w:r w:rsidRPr="008C5519">
        <w:rPr>
          <w:rFonts w:ascii="Times New Roman" w:eastAsia="Times New Roman" w:hAnsi="Times New Roman" w:cs="Times New Roman"/>
          <w:color w:val="000000"/>
          <w:sz w:val="16"/>
          <w:szCs w:val="16"/>
        </w:rPr>
        <w:t xml:space="preserve"> одного суждения другим, неправильном делении текста на абзацы, установлении неверных причинно-следственных связей ("Так как Обломов – человек ленивый, у него был Захар – его слуга") и др.</w:t>
      </w:r>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3</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Речевые, в том числе стилистические, ошибки. К ним относятся ошибки в употреблении слов: тавтология (повторение близких по смыслу синонимов), использование слова в несвойственном ему значении, смешение лексики разных исторических эпох, необоснованное применение диалектизмов и просторечий и т. д. Также речевой ошибкой является однообразие синтаксических конструкций и использование такого порядка слов, который приводит к неоднозначному пониманию предложения. Анализ прошлогодних сочинений позволил </w:t>
      </w:r>
      <w:proofErr w:type="spellStart"/>
      <w:r w:rsidRPr="008C5519">
        <w:rPr>
          <w:rFonts w:ascii="Times New Roman" w:eastAsia="Times New Roman" w:hAnsi="Times New Roman" w:cs="Times New Roman"/>
          <w:color w:val="000000"/>
          <w:sz w:val="16"/>
          <w:szCs w:val="16"/>
        </w:rPr>
        <w:t>Рособрнадзору</w:t>
      </w:r>
      <w:proofErr w:type="spellEnd"/>
      <w:r w:rsidRPr="008C5519">
        <w:rPr>
          <w:rFonts w:ascii="Times New Roman" w:eastAsia="Times New Roman" w:hAnsi="Times New Roman" w:cs="Times New Roman"/>
          <w:color w:val="000000"/>
          <w:sz w:val="16"/>
          <w:szCs w:val="16"/>
        </w:rPr>
        <w:t xml:space="preserve"> выделить самые частые речевые ошибки:</w:t>
      </w:r>
    </w:p>
    <w:p w:rsidR="008C5519" w:rsidRPr="008C5519" w:rsidRDefault="008C5519" w:rsidP="008F20A8">
      <w:pPr>
        <w:numPr>
          <w:ilvl w:val="0"/>
          <w:numId w:val="2"/>
        </w:numPr>
        <w:spacing w:after="100" w:afterAutospacing="1" w:line="196" w:lineRule="atLeast"/>
        <w:ind w:left="0"/>
        <w:jc w:val="both"/>
        <w:rPr>
          <w:rFonts w:ascii="Times New Roman" w:eastAsia="Times New Roman" w:hAnsi="Times New Roman" w:cs="Times New Roman"/>
          <w:color w:val="000000"/>
          <w:sz w:val="16"/>
          <w:szCs w:val="16"/>
        </w:rPr>
      </w:pPr>
      <w:proofErr w:type="spellStart"/>
      <w:r w:rsidRPr="008C5519">
        <w:rPr>
          <w:rFonts w:ascii="Times New Roman" w:eastAsia="Times New Roman" w:hAnsi="Times New Roman" w:cs="Times New Roman"/>
          <w:color w:val="000000"/>
          <w:sz w:val="16"/>
          <w:szCs w:val="16"/>
        </w:rPr>
        <w:t>неразличение</w:t>
      </w:r>
      <w:proofErr w:type="spellEnd"/>
      <w:r w:rsidRPr="008C5519">
        <w:rPr>
          <w:rFonts w:ascii="Times New Roman" w:eastAsia="Times New Roman" w:hAnsi="Times New Roman" w:cs="Times New Roman"/>
          <w:color w:val="000000"/>
          <w:sz w:val="16"/>
          <w:szCs w:val="16"/>
        </w:rPr>
        <w:t xml:space="preserve"> паронимов. </w:t>
      </w:r>
      <w:proofErr w:type="spellStart"/>
      <w:r w:rsidRPr="008C5519">
        <w:rPr>
          <w:rFonts w:ascii="Times New Roman" w:eastAsia="Times New Roman" w:hAnsi="Times New Roman" w:cs="Times New Roman"/>
          <w:color w:val="000000"/>
          <w:sz w:val="16"/>
          <w:szCs w:val="16"/>
        </w:rPr>
        <w:t>Например</w:t>
      </w:r>
      <w:proofErr w:type="gramStart"/>
      <w:r w:rsidRPr="008C5519">
        <w:rPr>
          <w:rFonts w:ascii="Times New Roman" w:eastAsia="Times New Roman" w:hAnsi="Times New Roman" w:cs="Times New Roman"/>
          <w:color w:val="000000"/>
          <w:sz w:val="16"/>
          <w:szCs w:val="16"/>
        </w:rPr>
        <w:t>,у</w:t>
      </w:r>
      <w:proofErr w:type="gramEnd"/>
      <w:r w:rsidRPr="008C5519">
        <w:rPr>
          <w:rFonts w:ascii="Times New Roman" w:eastAsia="Times New Roman" w:hAnsi="Times New Roman" w:cs="Times New Roman"/>
          <w:color w:val="000000"/>
          <w:sz w:val="16"/>
          <w:szCs w:val="16"/>
        </w:rPr>
        <w:t>потребление</w:t>
      </w:r>
      <w:proofErr w:type="spellEnd"/>
      <w:r w:rsidRPr="008C5519">
        <w:rPr>
          <w:rFonts w:ascii="Times New Roman" w:eastAsia="Times New Roman" w:hAnsi="Times New Roman" w:cs="Times New Roman"/>
          <w:color w:val="000000"/>
          <w:sz w:val="16"/>
          <w:szCs w:val="16"/>
        </w:rPr>
        <w:t xml:space="preserve"> слова "взглянуть " вместо "заглянуть", "представили" вместо "предоставили", в результате чего получаются подобные предложения: "Хищное истребление лесов привело к образованию оврагов" ("хищный" – "хищнический");</w:t>
      </w:r>
    </w:p>
    <w:p w:rsidR="008C5519" w:rsidRPr="008C5519" w:rsidRDefault="008C5519" w:rsidP="008F20A8">
      <w:pPr>
        <w:numPr>
          <w:ilvl w:val="0"/>
          <w:numId w:val="2"/>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неправильный выбор синонима</w:t>
      </w:r>
      <w:proofErr w:type="gramStart"/>
      <w:r w:rsidRPr="008C5519">
        <w:rPr>
          <w:rFonts w:ascii="Times New Roman" w:eastAsia="Times New Roman" w:hAnsi="Times New Roman" w:cs="Times New Roman"/>
          <w:color w:val="000000"/>
          <w:sz w:val="16"/>
          <w:szCs w:val="16"/>
        </w:rPr>
        <w:t>."</w:t>
      </w:r>
      <w:proofErr w:type="gramEnd"/>
      <w:r w:rsidRPr="008C5519">
        <w:rPr>
          <w:rFonts w:ascii="Times New Roman" w:eastAsia="Times New Roman" w:hAnsi="Times New Roman" w:cs="Times New Roman"/>
          <w:color w:val="000000"/>
          <w:sz w:val="16"/>
          <w:szCs w:val="16"/>
        </w:rPr>
        <w:t>Имя этого поэта знакомо во многих странах" (в данном случае нужно употреблять слово "известно");</w:t>
      </w:r>
    </w:p>
    <w:p w:rsidR="008C5519" w:rsidRPr="008C5519" w:rsidRDefault="008C5519" w:rsidP="008F20A8">
      <w:pPr>
        <w:numPr>
          <w:ilvl w:val="0"/>
          <w:numId w:val="2"/>
        </w:numPr>
        <w:spacing w:after="100" w:afterAutospacing="1" w:line="196" w:lineRule="atLeast"/>
        <w:ind w:left="0"/>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нарушение лексической сочетаемости</w:t>
      </w:r>
      <w:proofErr w:type="gramStart"/>
      <w:r w:rsidRPr="008C5519">
        <w:rPr>
          <w:rFonts w:ascii="Times New Roman" w:eastAsia="Times New Roman" w:hAnsi="Times New Roman" w:cs="Times New Roman"/>
          <w:color w:val="000000"/>
          <w:sz w:val="16"/>
          <w:szCs w:val="16"/>
        </w:rPr>
        <w:t>."</w:t>
      </w:r>
      <w:proofErr w:type="gramEnd"/>
      <w:r w:rsidRPr="008C5519">
        <w:rPr>
          <w:rFonts w:ascii="Times New Roman" w:eastAsia="Times New Roman" w:hAnsi="Times New Roman" w:cs="Times New Roman"/>
          <w:color w:val="000000"/>
          <w:sz w:val="16"/>
          <w:szCs w:val="16"/>
        </w:rPr>
        <w:t>Леонид вперед меня выполнил задание", "Узнав об аварии, начальник скоропостижно прибыл на объект").  </w:t>
      </w:r>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4</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Грамматические ошибки. </w:t>
      </w:r>
      <w:proofErr w:type="gramStart"/>
      <w:r w:rsidRPr="008C5519">
        <w:rPr>
          <w:rFonts w:ascii="Times New Roman" w:eastAsia="Times New Roman" w:hAnsi="Times New Roman" w:cs="Times New Roman"/>
          <w:color w:val="000000"/>
          <w:sz w:val="16"/>
          <w:szCs w:val="16"/>
        </w:rPr>
        <w:t>Они выражаются, в частности, в неправильном словообразовании, нарушении согласования, управления в словосочетаниях, неправильном построении предложений с деепричастным или причастным оборотом, однородными членами, а также сложных предложений ("</w:t>
      </w:r>
      <w:proofErr w:type="spellStart"/>
      <w:r w:rsidRPr="008C5519">
        <w:rPr>
          <w:rFonts w:ascii="Times New Roman" w:eastAsia="Times New Roman" w:hAnsi="Times New Roman" w:cs="Times New Roman"/>
          <w:color w:val="000000"/>
          <w:sz w:val="16"/>
          <w:szCs w:val="16"/>
        </w:rPr>
        <w:t>подскользнуться</w:t>
      </w:r>
      <w:proofErr w:type="spellEnd"/>
      <w:r w:rsidRPr="008C5519">
        <w:rPr>
          <w:rFonts w:ascii="Times New Roman" w:eastAsia="Times New Roman" w:hAnsi="Times New Roman" w:cs="Times New Roman"/>
          <w:color w:val="000000"/>
          <w:sz w:val="16"/>
          <w:szCs w:val="16"/>
        </w:rPr>
        <w:t>" вместо "поскользнуться" (использована не та приставка), "благородность" вместо "благородство" (не тот суффикс), заплатить за квартплату, удостоен наградой (не соблюдаются нормы управления в словосочетании).</w:t>
      </w:r>
      <w:proofErr w:type="gramEnd"/>
      <w:r w:rsidRPr="008C5519">
        <w:rPr>
          <w:rFonts w:ascii="Times New Roman" w:eastAsia="Times New Roman" w:hAnsi="Times New Roman" w:cs="Times New Roman"/>
          <w:color w:val="000000"/>
          <w:sz w:val="16"/>
          <w:szCs w:val="16"/>
        </w:rPr>
        <w:t xml:space="preserve"> </w:t>
      </w:r>
      <w:proofErr w:type="gramStart"/>
      <w:r w:rsidRPr="008C5519">
        <w:rPr>
          <w:rFonts w:ascii="Times New Roman" w:eastAsia="Times New Roman" w:hAnsi="Times New Roman" w:cs="Times New Roman"/>
          <w:color w:val="000000"/>
          <w:sz w:val="16"/>
          <w:szCs w:val="16"/>
        </w:rPr>
        <w:t xml:space="preserve">Наиболее типичные ошибки: в употреблении действительных и страдательных причастий ("Ручейки воды, </w:t>
      </w:r>
      <w:proofErr w:type="spellStart"/>
      <w:r w:rsidRPr="008C5519">
        <w:rPr>
          <w:rFonts w:ascii="Times New Roman" w:eastAsia="Times New Roman" w:hAnsi="Times New Roman" w:cs="Times New Roman"/>
          <w:color w:val="000000"/>
          <w:sz w:val="16"/>
          <w:szCs w:val="16"/>
        </w:rPr>
        <w:t>стекаемые</w:t>
      </w:r>
      <w:proofErr w:type="spellEnd"/>
      <w:r w:rsidRPr="008C5519">
        <w:rPr>
          <w:rFonts w:ascii="Times New Roman" w:eastAsia="Times New Roman" w:hAnsi="Times New Roman" w:cs="Times New Roman"/>
          <w:color w:val="000000"/>
          <w:sz w:val="16"/>
          <w:szCs w:val="16"/>
        </w:rPr>
        <w:t xml:space="preserve"> вниз, поразили автора текста" (правильно – "стекавшие"), в образовании деепричастий ("</w:t>
      </w:r>
      <w:proofErr w:type="spellStart"/>
      <w:r w:rsidRPr="008C5519">
        <w:rPr>
          <w:rFonts w:ascii="Times New Roman" w:eastAsia="Times New Roman" w:hAnsi="Times New Roman" w:cs="Times New Roman"/>
          <w:color w:val="000000"/>
          <w:sz w:val="16"/>
          <w:szCs w:val="16"/>
        </w:rPr>
        <w:t>Вышев</w:t>
      </w:r>
      <w:proofErr w:type="spellEnd"/>
      <w:r w:rsidRPr="008C5519">
        <w:rPr>
          <w:rFonts w:ascii="Times New Roman" w:eastAsia="Times New Roman" w:hAnsi="Times New Roman" w:cs="Times New Roman"/>
          <w:color w:val="000000"/>
          <w:sz w:val="16"/>
          <w:szCs w:val="16"/>
        </w:rPr>
        <w:t xml:space="preserve"> на сцену, певцы поклонились" (норма – "выйдя"), неправильное образование наречий, в том числе под влиянием просторечий и диалектов ("Автор тута был не прав" (правильно – "тут")).</w:t>
      </w:r>
      <w:proofErr w:type="gramEnd"/>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5</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Орфографические ошибки – ошибки в написании слов. Их следует отличать от грамматических, то есть от неправильного образования слов. Среди орфографических ошибок выделяются негрубые, например ошибки в исключениях из правил, в написании большой буквы в составных собственных наименованиях, в случаях раздельного и слитного написания "не" с прилагательными и причастиями, выступающими в роли сказуемого. При подсчете две негрубые орфографические ошибки считаются за одну. </w:t>
      </w:r>
      <w:proofErr w:type="gramStart"/>
      <w:r w:rsidRPr="008C5519">
        <w:rPr>
          <w:rFonts w:ascii="Times New Roman" w:eastAsia="Times New Roman" w:hAnsi="Times New Roman" w:cs="Times New Roman"/>
          <w:color w:val="000000"/>
          <w:sz w:val="16"/>
          <w:szCs w:val="16"/>
        </w:rPr>
        <w:t xml:space="preserve">Особые правила установлены для однотипных и повторяющихся ошибок Однотипными считаются ошибки, вызванные нарушением одного правила, если условия выбора правильного написания обусловлены грамматическими ("в </w:t>
      </w:r>
      <w:proofErr w:type="spellStart"/>
      <w:r w:rsidRPr="008C5519">
        <w:rPr>
          <w:rFonts w:ascii="Times New Roman" w:eastAsia="Times New Roman" w:hAnsi="Times New Roman" w:cs="Times New Roman"/>
          <w:color w:val="000000"/>
          <w:sz w:val="16"/>
          <w:szCs w:val="16"/>
        </w:rPr>
        <w:t>армие</w:t>
      </w:r>
      <w:proofErr w:type="spellEnd"/>
      <w:r w:rsidRPr="008C5519">
        <w:rPr>
          <w:rFonts w:ascii="Times New Roman" w:eastAsia="Times New Roman" w:hAnsi="Times New Roman" w:cs="Times New Roman"/>
          <w:color w:val="000000"/>
          <w:sz w:val="16"/>
          <w:szCs w:val="16"/>
        </w:rPr>
        <w:t>", "в рощи" (вместо "в армии", "в роще"), "</w:t>
      </w:r>
      <w:proofErr w:type="spellStart"/>
      <w:r w:rsidRPr="008C5519">
        <w:rPr>
          <w:rFonts w:ascii="Times New Roman" w:eastAsia="Times New Roman" w:hAnsi="Times New Roman" w:cs="Times New Roman"/>
          <w:color w:val="000000"/>
          <w:sz w:val="16"/>
          <w:szCs w:val="16"/>
        </w:rPr>
        <w:t>колят</w:t>
      </w:r>
      <w:proofErr w:type="spellEnd"/>
      <w:r w:rsidRPr="008C5519">
        <w:rPr>
          <w:rFonts w:ascii="Times New Roman" w:eastAsia="Times New Roman" w:hAnsi="Times New Roman" w:cs="Times New Roman"/>
          <w:color w:val="000000"/>
          <w:sz w:val="16"/>
          <w:szCs w:val="16"/>
        </w:rPr>
        <w:t>", "</w:t>
      </w:r>
      <w:proofErr w:type="spellStart"/>
      <w:r w:rsidRPr="008C5519">
        <w:rPr>
          <w:rFonts w:ascii="Times New Roman" w:eastAsia="Times New Roman" w:hAnsi="Times New Roman" w:cs="Times New Roman"/>
          <w:color w:val="000000"/>
          <w:sz w:val="16"/>
          <w:szCs w:val="16"/>
        </w:rPr>
        <w:t>борятся</w:t>
      </w:r>
      <w:proofErr w:type="spellEnd"/>
      <w:r w:rsidRPr="008C5519">
        <w:rPr>
          <w:rFonts w:ascii="Times New Roman" w:eastAsia="Times New Roman" w:hAnsi="Times New Roman" w:cs="Times New Roman"/>
          <w:color w:val="000000"/>
          <w:sz w:val="16"/>
          <w:szCs w:val="16"/>
        </w:rPr>
        <w:t>" (правильно – "колют", "борются") и фонетическими ("</w:t>
      </w:r>
      <w:proofErr w:type="spellStart"/>
      <w:r w:rsidRPr="008C5519">
        <w:rPr>
          <w:rFonts w:ascii="Times New Roman" w:eastAsia="Times New Roman" w:hAnsi="Times New Roman" w:cs="Times New Roman"/>
          <w:color w:val="000000"/>
          <w:sz w:val="16"/>
          <w:szCs w:val="16"/>
        </w:rPr>
        <w:t>пирожек</w:t>
      </w:r>
      <w:proofErr w:type="spellEnd"/>
      <w:r w:rsidRPr="008C5519">
        <w:rPr>
          <w:rFonts w:ascii="Times New Roman" w:eastAsia="Times New Roman" w:hAnsi="Times New Roman" w:cs="Times New Roman"/>
          <w:color w:val="000000"/>
          <w:sz w:val="16"/>
          <w:szCs w:val="16"/>
        </w:rPr>
        <w:t>", "</w:t>
      </w:r>
      <w:proofErr w:type="spellStart"/>
      <w:r w:rsidRPr="008C5519">
        <w:rPr>
          <w:rFonts w:ascii="Times New Roman" w:eastAsia="Times New Roman" w:hAnsi="Times New Roman" w:cs="Times New Roman"/>
          <w:color w:val="000000"/>
          <w:sz w:val="16"/>
          <w:szCs w:val="16"/>
        </w:rPr>
        <w:t>сверчек</w:t>
      </w:r>
      <w:proofErr w:type="spellEnd"/>
      <w:r w:rsidRPr="008C5519">
        <w:rPr>
          <w:rFonts w:ascii="Times New Roman" w:eastAsia="Times New Roman" w:hAnsi="Times New Roman" w:cs="Times New Roman"/>
          <w:color w:val="000000"/>
          <w:sz w:val="16"/>
          <w:szCs w:val="16"/>
        </w:rPr>
        <w:t>" вместо "пирожок", "сверчок") особенностями слова.</w:t>
      </w:r>
      <w:proofErr w:type="gramEnd"/>
      <w:r w:rsidRPr="008C5519">
        <w:rPr>
          <w:rFonts w:ascii="Times New Roman" w:eastAsia="Times New Roman" w:hAnsi="Times New Roman" w:cs="Times New Roman"/>
          <w:color w:val="000000"/>
          <w:sz w:val="16"/>
          <w:szCs w:val="16"/>
        </w:rPr>
        <w:t xml:space="preserve"> Первые три однотипные ошибки считаются за одну, каждая следующая подобная ошибка учитывается как самостоятельная. </w:t>
      </w:r>
      <w:proofErr w:type="gramStart"/>
      <w:r w:rsidRPr="008C5519">
        <w:rPr>
          <w:rFonts w:ascii="Times New Roman" w:eastAsia="Times New Roman" w:hAnsi="Times New Roman" w:cs="Times New Roman"/>
          <w:color w:val="000000"/>
          <w:sz w:val="16"/>
          <w:szCs w:val="16"/>
        </w:rPr>
        <w:t>Повторяющаяся ошибка – та, которая встречается в одном и том же слове или в корне однокоренных слов ("</w:t>
      </w:r>
      <w:proofErr w:type="spellStart"/>
      <w:r w:rsidRPr="008C5519">
        <w:rPr>
          <w:rFonts w:ascii="Times New Roman" w:eastAsia="Times New Roman" w:hAnsi="Times New Roman" w:cs="Times New Roman"/>
          <w:color w:val="000000"/>
          <w:sz w:val="16"/>
          <w:szCs w:val="16"/>
        </w:rPr>
        <w:t>валнистый</w:t>
      </w:r>
      <w:proofErr w:type="spellEnd"/>
      <w:r w:rsidRPr="008C5519">
        <w:rPr>
          <w:rFonts w:ascii="Times New Roman" w:eastAsia="Times New Roman" w:hAnsi="Times New Roman" w:cs="Times New Roman"/>
          <w:color w:val="000000"/>
          <w:sz w:val="16"/>
          <w:szCs w:val="16"/>
        </w:rPr>
        <w:t>", "</w:t>
      </w:r>
      <w:proofErr w:type="spellStart"/>
      <w:r w:rsidRPr="008C5519">
        <w:rPr>
          <w:rFonts w:ascii="Times New Roman" w:eastAsia="Times New Roman" w:hAnsi="Times New Roman" w:cs="Times New Roman"/>
          <w:color w:val="000000"/>
          <w:sz w:val="16"/>
          <w:szCs w:val="16"/>
        </w:rPr>
        <w:t>вална</w:t>
      </w:r>
      <w:proofErr w:type="spellEnd"/>
      <w:r w:rsidRPr="008C5519">
        <w:rPr>
          <w:rFonts w:ascii="Times New Roman" w:eastAsia="Times New Roman" w:hAnsi="Times New Roman" w:cs="Times New Roman"/>
          <w:color w:val="000000"/>
          <w:sz w:val="16"/>
          <w:szCs w:val="16"/>
        </w:rPr>
        <w:t>" ("волнистый", "волна"), "</w:t>
      </w:r>
      <w:proofErr w:type="spellStart"/>
      <w:r w:rsidRPr="008C5519">
        <w:rPr>
          <w:rFonts w:ascii="Times New Roman" w:eastAsia="Times New Roman" w:hAnsi="Times New Roman" w:cs="Times New Roman"/>
          <w:color w:val="000000"/>
          <w:sz w:val="16"/>
          <w:szCs w:val="16"/>
        </w:rPr>
        <w:t>перегареть</w:t>
      </w:r>
      <w:proofErr w:type="spellEnd"/>
      <w:r w:rsidRPr="008C5519">
        <w:rPr>
          <w:rFonts w:ascii="Times New Roman" w:eastAsia="Times New Roman" w:hAnsi="Times New Roman" w:cs="Times New Roman"/>
          <w:color w:val="000000"/>
          <w:sz w:val="16"/>
          <w:szCs w:val="16"/>
        </w:rPr>
        <w:t>", "</w:t>
      </w:r>
      <w:proofErr w:type="spellStart"/>
      <w:r w:rsidRPr="008C5519">
        <w:rPr>
          <w:rFonts w:ascii="Times New Roman" w:eastAsia="Times New Roman" w:hAnsi="Times New Roman" w:cs="Times New Roman"/>
          <w:color w:val="000000"/>
          <w:sz w:val="16"/>
          <w:szCs w:val="16"/>
        </w:rPr>
        <w:t>сгаревший</w:t>
      </w:r>
      <w:proofErr w:type="spellEnd"/>
      <w:r w:rsidRPr="008C5519">
        <w:rPr>
          <w:rFonts w:ascii="Times New Roman" w:eastAsia="Times New Roman" w:hAnsi="Times New Roman" w:cs="Times New Roman"/>
          <w:color w:val="000000"/>
          <w:sz w:val="16"/>
          <w:szCs w:val="16"/>
        </w:rPr>
        <w:t>" ("перегореть", "сгоревший").</w:t>
      </w:r>
      <w:proofErr w:type="gramEnd"/>
      <w:r w:rsidRPr="008C5519">
        <w:rPr>
          <w:rFonts w:ascii="Times New Roman" w:eastAsia="Times New Roman" w:hAnsi="Times New Roman" w:cs="Times New Roman"/>
          <w:color w:val="000000"/>
          <w:sz w:val="16"/>
          <w:szCs w:val="16"/>
        </w:rPr>
        <w:t xml:space="preserve"> Она считается за одну ошибку. Отдельная категория орфографических ошибок – графические ошибки. Это описки, вызванные невнимательностью пишущего или поспешностью написания ("</w:t>
      </w:r>
      <w:proofErr w:type="spellStart"/>
      <w:r w:rsidRPr="008C5519">
        <w:rPr>
          <w:rFonts w:ascii="Times New Roman" w:eastAsia="Times New Roman" w:hAnsi="Times New Roman" w:cs="Times New Roman"/>
          <w:color w:val="000000"/>
          <w:sz w:val="16"/>
          <w:szCs w:val="16"/>
        </w:rPr>
        <w:t>рабость</w:t>
      </w:r>
      <w:proofErr w:type="spellEnd"/>
      <w:r w:rsidRPr="008C5519">
        <w:rPr>
          <w:rFonts w:ascii="Times New Roman" w:eastAsia="Times New Roman" w:hAnsi="Times New Roman" w:cs="Times New Roman"/>
          <w:color w:val="000000"/>
          <w:sz w:val="16"/>
          <w:szCs w:val="16"/>
        </w:rPr>
        <w:t>" вместо "радость", "полпа" вместо "толпа"). Одиночные графические ошибки не учитываются при проверке, но если их больше пяти на 100 слов текста, работа признается безграмотной, и по критерию "Грамотность" выставляется "незачет".</w:t>
      </w:r>
    </w:p>
    <w:p w:rsidR="008C5519" w:rsidRPr="008C5519" w:rsidRDefault="008C5519" w:rsidP="008F20A8">
      <w:pPr>
        <w:spacing w:after="0"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FFFFFF"/>
          <w:sz w:val="16"/>
        </w:rPr>
        <w:t>6</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Пунктуационные ошибки – неиспользование необходимого знака препинания либо, напротив, употребление там, где его постановка не требуется, а также необоснованная замена одного знака препинания другим. Негрубые пунктуационные ошибки (замена одного знака препинания на другой, пропуск одного из сочетающихся знаков препинания) не имеют существенного значения для характеристики грамотности, поэтому при подсчете ошибок две негрубые считаются за одну. Правила же подсчета однотипных и повторяющихся ошибок на пунктуацию не распространяется, каждая ошибка считается </w:t>
      </w:r>
      <w:proofErr w:type="gramStart"/>
      <w:r w:rsidRPr="008C5519">
        <w:rPr>
          <w:rFonts w:ascii="Times New Roman" w:eastAsia="Times New Roman" w:hAnsi="Times New Roman" w:cs="Times New Roman"/>
          <w:color w:val="000000"/>
          <w:sz w:val="16"/>
          <w:szCs w:val="16"/>
        </w:rPr>
        <w:t>за</w:t>
      </w:r>
      <w:proofErr w:type="gramEnd"/>
      <w:r w:rsidRPr="008C5519">
        <w:rPr>
          <w:rFonts w:ascii="Times New Roman" w:eastAsia="Times New Roman" w:hAnsi="Times New Roman" w:cs="Times New Roman"/>
          <w:color w:val="000000"/>
          <w:sz w:val="16"/>
          <w:szCs w:val="16"/>
        </w:rPr>
        <w:t xml:space="preserve"> самостоятельную.</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В рекомендациях </w:t>
      </w:r>
      <w:proofErr w:type="spellStart"/>
      <w:r w:rsidRPr="008C5519">
        <w:rPr>
          <w:rFonts w:ascii="Times New Roman" w:eastAsia="Times New Roman" w:hAnsi="Times New Roman" w:cs="Times New Roman"/>
          <w:color w:val="000000"/>
          <w:sz w:val="16"/>
          <w:szCs w:val="16"/>
        </w:rPr>
        <w:t>Рособрнадзора</w:t>
      </w:r>
      <w:proofErr w:type="spellEnd"/>
      <w:r w:rsidRPr="008C5519">
        <w:rPr>
          <w:rFonts w:ascii="Times New Roman" w:eastAsia="Times New Roman" w:hAnsi="Times New Roman" w:cs="Times New Roman"/>
          <w:color w:val="000000"/>
          <w:sz w:val="16"/>
          <w:szCs w:val="16"/>
        </w:rPr>
        <w:t xml:space="preserve"> приведены конкретные примеры анализа работ: отрывки реальных сочинений рассмотрены на соответствие тем или иным критериям. Кроме того, дан полный разбор двух полноценных сочинений.</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Избежать "незачетов" по сочинению позволит грамотная подготовка к его написанию, способствовать которой, в частности, обязаны учителя в школах. Они должны научить детей и написанию сочинений, и анализу готовых текстов (с определением темы, выделением </w:t>
      </w:r>
      <w:proofErr w:type="spellStart"/>
      <w:r w:rsidRPr="008C5519">
        <w:rPr>
          <w:rFonts w:ascii="Times New Roman" w:eastAsia="Times New Roman" w:hAnsi="Times New Roman" w:cs="Times New Roman"/>
          <w:color w:val="000000"/>
          <w:sz w:val="16"/>
          <w:szCs w:val="16"/>
        </w:rPr>
        <w:t>микротемы</w:t>
      </w:r>
      <w:proofErr w:type="spellEnd"/>
      <w:r w:rsidRPr="008C5519">
        <w:rPr>
          <w:rFonts w:ascii="Times New Roman" w:eastAsia="Times New Roman" w:hAnsi="Times New Roman" w:cs="Times New Roman"/>
          <w:color w:val="000000"/>
          <w:sz w:val="16"/>
          <w:szCs w:val="16"/>
        </w:rPr>
        <w:t>, оценкой выбранной лексики и т. д.). Рекомендуется проводить в течение года не менее трех контрольных сочинений, которые после проверки анализируются в классе по критериям оценки итогового сочинения. В частности, зачитываются самые удачные сочинения или их фрагменты, обсуждается, как можно их доработать (подобрать другие доказательства к тезисам, варианты вступления и заключения и т. д.). Кроме того, рекомендуется проводить индивидуальное собеседование с каждым учеником для обсуждения замечаний к его работе.</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Несмотря на </w:t>
      </w:r>
      <w:proofErr w:type="gramStart"/>
      <w:r w:rsidRPr="008C5519">
        <w:rPr>
          <w:rFonts w:ascii="Times New Roman" w:eastAsia="Times New Roman" w:hAnsi="Times New Roman" w:cs="Times New Roman"/>
          <w:color w:val="000000"/>
          <w:sz w:val="16"/>
          <w:szCs w:val="16"/>
        </w:rPr>
        <w:t>то</w:t>
      </w:r>
      <w:proofErr w:type="gramEnd"/>
      <w:r w:rsidRPr="008C5519">
        <w:rPr>
          <w:rFonts w:ascii="Times New Roman" w:eastAsia="Times New Roman" w:hAnsi="Times New Roman" w:cs="Times New Roman"/>
          <w:color w:val="000000"/>
          <w:sz w:val="16"/>
          <w:szCs w:val="16"/>
        </w:rPr>
        <w:t xml:space="preserve"> что конкретные темы становятся известны не ранее чем за 15 минут до начала итогового сочинения, тематические направления, в пределах которых будут сформулированы темы для текущего учебного года, уже установлены: "Время", "Дом", "Любовь", "Путь", "Год литературы" (раздел "</w:t>
      </w:r>
      <w:hyperlink r:id="rId23" w:anchor="p_1559" w:history="1">
        <w:r w:rsidRPr="008F20A8">
          <w:rPr>
            <w:rFonts w:ascii="Times New Roman" w:eastAsia="Times New Roman" w:hAnsi="Times New Roman" w:cs="Times New Roman"/>
            <w:color w:val="2060A4"/>
            <w:sz w:val="16"/>
          </w:rPr>
          <w:t>Особенности формулировок тем итогового сочинения</w:t>
        </w:r>
      </w:hyperlink>
      <w:r w:rsidRPr="008C5519">
        <w:rPr>
          <w:rFonts w:ascii="Times New Roman" w:eastAsia="Times New Roman" w:hAnsi="Times New Roman" w:cs="Times New Roman"/>
          <w:color w:val="000000"/>
          <w:sz w:val="16"/>
          <w:szCs w:val="16"/>
        </w:rPr>
        <w:t>" рекомендаций для экспертов), о чем учителя могут рассказать ученикам. При этом необходимо помнить, что любая тема подразумевает использование прочитанной художественной литературы для аргументации своей позиции. Можно использовать всего одно произведение, но так, чтобы его анализ помог раскрыть тему.</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Что касается изложения, то процесс его проведения более сложен, поскольку в этом случае речь идет, как правило, об учениках с ограниченными возможностями здоровья и инвалидах. Поэтому при оценке работ глухих и слабослышащих учащихся необходимо учитывать основные положения специальной методики обучения русскому языку таких детей.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приводит подробные рекомендации по их подготовке к изложению (подраздел "</w:t>
      </w:r>
      <w:hyperlink r:id="rId24" w:anchor="p_1840" w:history="1">
        <w:r w:rsidRPr="008F20A8">
          <w:rPr>
            <w:rFonts w:ascii="Times New Roman" w:eastAsia="Times New Roman" w:hAnsi="Times New Roman" w:cs="Times New Roman"/>
            <w:color w:val="2060A4"/>
            <w:sz w:val="16"/>
          </w:rPr>
          <w:t>Подготовка к итоговому изложению</w:t>
        </w:r>
      </w:hyperlink>
      <w:r w:rsidRPr="008C5519">
        <w:rPr>
          <w:rFonts w:ascii="Times New Roman" w:eastAsia="Times New Roman" w:hAnsi="Times New Roman" w:cs="Times New Roman"/>
          <w:color w:val="000000"/>
          <w:sz w:val="16"/>
          <w:szCs w:val="16"/>
        </w:rPr>
        <w:t>" методических рекомендаций для экспертов) и анализ трех реальных изложений, в том числе одного, получившего "незачет".</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b/>
          <w:bCs/>
          <w:color w:val="0060AE"/>
        </w:rPr>
        <w:t>Оценка сочинения вузами</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Напомним, итоговое сочинение абитуриент может представить в вуз при поступлении. Последний вправе начислить за работу до 10 дополнительных баллов (</w:t>
      </w:r>
      <w:proofErr w:type="spellStart"/>
      <w:r w:rsidRPr="008C5519">
        <w:rPr>
          <w:rFonts w:ascii="Times New Roman" w:eastAsia="Times New Roman" w:hAnsi="Times New Roman" w:cs="Times New Roman"/>
          <w:color w:val="000000"/>
          <w:sz w:val="16"/>
          <w:szCs w:val="16"/>
        </w:rPr>
        <w:fldChar w:fldCharType="begin"/>
      </w:r>
      <w:r w:rsidRPr="008C5519">
        <w:rPr>
          <w:rFonts w:ascii="Times New Roman" w:eastAsia="Times New Roman" w:hAnsi="Times New Roman" w:cs="Times New Roman"/>
          <w:color w:val="000000"/>
          <w:sz w:val="16"/>
          <w:szCs w:val="16"/>
        </w:rPr>
        <w:instrText xml:space="preserve"> HYPERLINK "http://base.garant.ru/70731218/" \l "p_150" </w:instrText>
      </w:r>
      <w:r w:rsidRPr="008C5519">
        <w:rPr>
          <w:rFonts w:ascii="Times New Roman" w:eastAsia="Times New Roman" w:hAnsi="Times New Roman" w:cs="Times New Roman"/>
          <w:color w:val="000000"/>
          <w:sz w:val="16"/>
          <w:szCs w:val="16"/>
        </w:rPr>
        <w:fldChar w:fldCharType="separate"/>
      </w:r>
      <w:r w:rsidRPr="008F20A8">
        <w:rPr>
          <w:rFonts w:ascii="Times New Roman" w:eastAsia="Times New Roman" w:hAnsi="Times New Roman" w:cs="Times New Roman"/>
          <w:color w:val="2060A4"/>
          <w:sz w:val="16"/>
        </w:rPr>
        <w:t>абз</w:t>
      </w:r>
      <w:proofErr w:type="spellEnd"/>
      <w:r w:rsidRPr="008F20A8">
        <w:rPr>
          <w:rFonts w:ascii="Times New Roman" w:eastAsia="Times New Roman" w:hAnsi="Times New Roman" w:cs="Times New Roman"/>
          <w:color w:val="2060A4"/>
          <w:sz w:val="16"/>
        </w:rPr>
        <w:t xml:space="preserve">. 3 п. 46 Порядка приема на </w:t>
      </w:r>
      <w:proofErr w:type="gramStart"/>
      <w:r w:rsidRPr="008F20A8">
        <w:rPr>
          <w:rFonts w:ascii="Times New Roman" w:eastAsia="Times New Roman" w:hAnsi="Times New Roman" w:cs="Times New Roman"/>
          <w:color w:val="2060A4"/>
          <w:sz w:val="16"/>
        </w:rPr>
        <w:t>обучение по</w:t>
      </w:r>
      <w:proofErr w:type="gramEnd"/>
      <w:r w:rsidRPr="008F20A8">
        <w:rPr>
          <w:rFonts w:ascii="Times New Roman" w:eastAsia="Times New Roman" w:hAnsi="Times New Roman" w:cs="Times New Roman"/>
          <w:color w:val="2060A4"/>
          <w:sz w:val="16"/>
        </w:rPr>
        <w:t xml:space="preserve"> образовательным программам высшего образования – программам </w:t>
      </w:r>
      <w:proofErr w:type="spellStart"/>
      <w:r w:rsidRPr="008F20A8">
        <w:rPr>
          <w:rFonts w:ascii="Times New Roman" w:eastAsia="Times New Roman" w:hAnsi="Times New Roman" w:cs="Times New Roman"/>
          <w:color w:val="2060A4"/>
          <w:sz w:val="16"/>
        </w:rPr>
        <w:t>бакалавриата</w:t>
      </w:r>
      <w:proofErr w:type="spellEnd"/>
      <w:r w:rsidRPr="008F20A8">
        <w:rPr>
          <w:rFonts w:ascii="Times New Roman" w:eastAsia="Times New Roman" w:hAnsi="Times New Roman" w:cs="Times New Roman"/>
          <w:color w:val="2060A4"/>
          <w:sz w:val="16"/>
        </w:rPr>
        <w:t xml:space="preserve">, программам </w:t>
      </w:r>
      <w:proofErr w:type="spellStart"/>
      <w:r w:rsidRPr="008F20A8">
        <w:rPr>
          <w:rFonts w:ascii="Times New Roman" w:eastAsia="Times New Roman" w:hAnsi="Times New Roman" w:cs="Times New Roman"/>
          <w:color w:val="2060A4"/>
          <w:sz w:val="16"/>
        </w:rPr>
        <w:t>специалитета</w:t>
      </w:r>
      <w:proofErr w:type="spellEnd"/>
      <w:r w:rsidRPr="008F20A8">
        <w:rPr>
          <w:rFonts w:ascii="Times New Roman" w:eastAsia="Times New Roman" w:hAnsi="Times New Roman" w:cs="Times New Roman"/>
          <w:color w:val="2060A4"/>
          <w:sz w:val="16"/>
        </w:rPr>
        <w:t>, программам магистратуры на 2015/16 учебный год</w:t>
      </w:r>
      <w:r w:rsidRPr="008C5519">
        <w:rPr>
          <w:rFonts w:ascii="Times New Roman" w:eastAsia="Times New Roman" w:hAnsi="Times New Roman" w:cs="Times New Roman"/>
          <w:color w:val="000000"/>
          <w:sz w:val="16"/>
          <w:szCs w:val="16"/>
        </w:rPr>
        <w:fldChar w:fldCharType="end"/>
      </w:r>
      <w:r w:rsidRPr="008C5519">
        <w:rPr>
          <w:rFonts w:ascii="Times New Roman" w:eastAsia="Times New Roman" w:hAnsi="Times New Roman" w:cs="Times New Roman"/>
          <w:color w:val="000000"/>
          <w:sz w:val="16"/>
          <w:szCs w:val="16"/>
        </w:rPr>
        <w:t xml:space="preserve">). Каждый вуз может самостоятельно определить процедуру расчета этих баллов, но </w:t>
      </w:r>
      <w:proofErr w:type="spellStart"/>
      <w:r w:rsidRPr="008C5519">
        <w:rPr>
          <w:rFonts w:ascii="Times New Roman" w:eastAsia="Times New Roman" w:hAnsi="Times New Roman" w:cs="Times New Roman"/>
          <w:color w:val="000000"/>
          <w:sz w:val="16"/>
          <w:szCs w:val="16"/>
        </w:rPr>
        <w:t>Рособрнадзор</w:t>
      </w:r>
      <w:proofErr w:type="spellEnd"/>
      <w:r w:rsidRPr="008C5519">
        <w:rPr>
          <w:rFonts w:ascii="Times New Roman" w:eastAsia="Times New Roman" w:hAnsi="Times New Roman" w:cs="Times New Roman"/>
          <w:color w:val="000000"/>
          <w:sz w:val="16"/>
          <w:szCs w:val="16"/>
        </w:rPr>
        <w:t xml:space="preserve"> утвердил для них</w:t>
      </w:r>
      <w:r w:rsidRPr="008F20A8">
        <w:rPr>
          <w:rFonts w:ascii="Times New Roman" w:eastAsia="Times New Roman" w:hAnsi="Times New Roman" w:cs="Times New Roman"/>
          <w:color w:val="000000"/>
          <w:sz w:val="16"/>
        </w:rPr>
        <w:t> </w:t>
      </w:r>
      <w:hyperlink r:id="rId25" w:anchor="p_3984" w:history="1">
        <w:r w:rsidRPr="008F20A8">
          <w:rPr>
            <w:rFonts w:ascii="Times New Roman" w:eastAsia="Times New Roman" w:hAnsi="Times New Roman" w:cs="Times New Roman"/>
            <w:color w:val="2060A4"/>
            <w:sz w:val="16"/>
          </w:rPr>
          <w:t>рекомендуемые критерии</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 xml:space="preserve">оценки сочинения. Таких критериев 10, за каждый из них может быть начислено от 0 до 2 баллов. Подробно разъясняется, когда можно поставить максимальный балл, а когда он снижается. Например, нельзя поставить максимальные баллы за сочинение, в котором участник поверхностно рассуждает на предложенную или близкую к ней тему, привлечение литературного материала ограничивается лишь общими </w:t>
      </w:r>
      <w:r w:rsidRPr="008C5519">
        <w:rPr>
          <w:rFonts w:ascii="Times New Roman" w:eastAsia="Times New Roman" w:hAnsi="Times New Roman" w:cs="Times New Roman"/>
          <w:color w:val="000000"/>
          <w:sz w:val="16"/>
          <w:szCs w:val="16"/>
        </w:rPr>
        <w:lastRenderedPageBreak/>
        <w:t>высказываниями по поводу художественного произведения или его пересказом, а использованная лексика однообразна. За каждое сочинение может быть начислено до 20 первичных баллов, поэтому утверждены и</w:t>
      </w:r>
      <w:r w:rsidRPr="008F20A8">
        <w:rPr>
          <w:rFonts w:ascii="Times New Roman" w:eastAsia="Times New Roman" w:hAnsi="Times New Roman" w:cs="Times New Roman"/>
          <w:color w:val="000000"/>
          <w:sz w:val="16"/>
        </w:rPr>
        <w:t> </w:t>
      </w:r>
      <w:hyperlink r:id="rId26" w:anchor="p_3386" w:history="1">
        <w:r w:rsidRPr="008F20A8">
          <w:rPr>
            <w:rFonts w:ascii="Times New Roman" w:eastAsia="Times New Roman" w:hAnsi="Times New Roman" w:cs="Times New Roman"/>
            <w:color w:val="2060A4"/>
            <w:sz w:val="16"/>
          </w:rPr>
          <w:t>рекомендации</w:t>
        </w:r>
      </w:hyperlink>
      <w:r w:rsidRPr="008C5519">
        <w:rPr>
          <w:rFonts w:ascii="Times New Roman" w:eastAsia="Times New Roman" w:hAnsi="Times New Roman" w:cs="Times New Roman"/>
          <w:color w:val="000000"/>
          <w:sz w:val="16"/>
          <w:szCs w:val="16"/>
        </w:rPr>
        <w:t> по их переводу в 10-балльную шкалу.</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Результат итогового сочинения действителен в течение четырех лет, следующих за годом написания сочинения. При этом выпускники прошлых лет могут написать сочинение, даже если они его уже писали и результаты до сих пор действуют. В этом случае такие граждане вправе предоставить вузам результаты сочинения только текущего года (независимо от того, хуже или лучше прошлогодних эти результаты), а результат итогового сочинения прошлого года аннулируется (раздел "</w:t>
      </w:r>
      <w:hyperlink r:id="rId27" w:anchor="p_2274" w:history="1">
        <w:r w:rsidRPr="008F20A8">
          <w:rPr>
            <w:rFonts w:ascii="Times New Roman" w:eastAsia="Times New Roman" w:hAnsi="Times New Roman" w:cs="Times New Roman"/>
            <w:color w:val="2060A4"/>
            <w:sz w:val="16"/>
          </w:rPr>
          <w:t>Срок действия результатов итогового сочинения</w:t>
        </w:r>
      </w:hyperlink>
      <w:r w:rsidRPr="008C5519">
        <w:rPr>
          <w:rFonts w:ascii="Times New Roman" w:eastAsia="Times New Roman" w:hAnsi="Times New Roman" w:cs="Times New Roman"/>
          <w:color w:val="000000"/>
          <w:sz w:val="16"/>
          <w:szCs w:val="16"/>
        </w:rPr>
        <w:t>" рекомендаций для образовательных организаций).</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F20A8">
        <w:rPr>
          <w:rFonts w:ascii="Times New Roman" w:eastAsia="Times New Roman" w:hAnsi="Times New Roman" w:cs="Times New Roman"/>
          <w:b/>
          <w:bCs/>
          <w:color w:val="0060AE"/>
        </w:rPr>
        <w:t>***</w:t>
      </w:r>
      <w:r w:rsidRPr="008C5519">
        <w:rPr>
          <w:rFonts w:ascii="Times New Roman" w:eastAsia="Times New Roman" w:hAnsi="Times New Roman" w:cs="Times New Roman"/>
          <w:color w:val="000000"/>
          <w:sz w:val="16"/>
          <w:szCs w:val="16"/>
        </w:rPr>
        <w:t> </w:t>
      </w:r>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Утвержденные </w:t>
      </w:r>
      <w:proofErr w:type="spellStart"/>
      <w:r w:rsidRPr="008C5519">
        <w:rPr>
          <w:rFonts w:ascii="Times New Roman" w:eastAsia="Times New Roman" w:hAnsi="Times New Roman" w:cs="Times New Roman"/>
          <w:color w:val="000000"/>
          <w:sz w:val="16"/>
          <w:szCs w:val="16"/>
        </w:rPr>
        <w:t>Рособрнадзором</w:t>
      </w:r>
      <w:proofErr w:type="spellEnd"/>
      <w:r w:rsidRPr="008C5519">
        <w:rPr>
          <w:rFonts w:ascii="Times New Roman" w:eastAsia="Times New Roman" w:hAnsi="Times New Roman" w:cs="Times New Roman"/>
          <w:color w:val="000000"/>
          <w:sz w:val="16"/>
          <w:szCs w:val="16"/>
        </w:rPr>
        <w:t xml:space="preserve"> рекомендации по проведению и оценке итоговых сочинений (изложений) более чем подробны и описывают действия всех субъектов, принимающих участие в этом процессе на всех его этапах. Однако требования к самим работам по существу не изменились – "незачет" ставится только при наличии большого количества грубых ошибок. При этом допустимое количество ошибок в сочинении (изложении) очень тревожит учителей. Так, еще в прошлом году председатель Ассоциации учителей русского языка и литературы г. Москвы</w:t>
      </w:r>
      <w:r w:rsidRPr="008F20A8">
        <w:rPr>
          <w:rFonts w:ascii="Times New Roman" w:eastAsia="Times New Roman" w:hAnsi="Times New Roman" w:cs="Times New Roman"/>
          <w:color w:val="000000"/>
          <w:sz w:val="16"/>
        </w:rPr>
        <w:t> </w:t>
      </w:r>
      <w:r w:rsidRPr="008F20A8">
        <w:rPr>
          <w:rFonts w:ascii="Times New Roman" w:eastAsia="Times New Roman" w:hAnsi="Times New Roman" w:cs="Times New Roman"/>
          <w:b/>
          <w:bCs/>
          <w:color w:val="000000"/>
          <w:sz w:val="16"/>
        </w:rPr>
        <w:t xml:space="preserve">Роман </w:t>
      </w:r>
      <w:proofErr w:type="spellStart"/>
      <w:r w:rsidRPr="008F20A8">
        <w:rPr>
          <w:rFonts w:ascii="Times New Roman" w:eastAsia="Times New Roman" w:hAnsi="Times New Roman" w:cs="Times New Roman"/>
          <w:b/>
          <w:bCs/>
          <w:color w:val="000000"/>
          <w:sz w:val="16"/>
        </w:rPr>
        <w:t>Дощинский</w:t>
      </w:r>
      <w:proofErr w:type="spellEnd"/>
      <w:r w:rsidRPr="008F20A8">
        <w:rPr>
          <w:rFonts w:ascii="Times New Roman" w:eastAsia="Times New Roman" w:hAnsi="Times New Roman" w:cs="Times New Roman"/>
          <w:color w:val="000000"/>
          <w:sz w:val="16"/>
        </w:rPr>
        <w:t> </w:t>
      </w:r>
      <w:hyperlink r:id="rId28" w:history="1">
        <w:r w:rsidRPr="008F20A8">
          <w:rPr>
            <w:rFonts w:ascii="Times New Roman" w:eastAsia="Times New Roman" w:hAnsi="Times New Roman" w:cs="Times New Roman"/>
            <w:color w:val="2060A4"/>
            <w:sz w:val="16"/>
          </w:rPr>
          <w:t>поделился</w:t>
        </w:r>
      </w:hyperlink>
      <w:r w:rsidRPr="008F20A8">
        <w:rPr>
          <w:rFonts w:ascii="Times New Roman" w:eastAsia="Times New Roman" w:hAnsi="Times New Roman" w:cs="Times New Roman"/>
          <w:color w:val="000000"/>
          <w:sz w:val="16"/>
        </w:rPr>
        <w:t> </w:t>
      </w:r>
      <w:r w:rsidRPr="008C5519">
        <w:rPr>
          <w:rFonts w:ascii="Times New Roman" w:eastAsia="Times New Roman" w:hAnsi="Times New Roman" w:cs="Times New Roman"/>
          <w:color w:val="000000"/>
          <w:sz w:val="16"/>
          <w:szCs w:val="16"/>
        </w:rPr>
        <w:t>с порталом ГАРАНТ</w:t>
      </w:r>
      <w:proofErr w:type="gramStart"/>
      <w:r w:rsidRPr="008C5519">
        <w:rPr>
          <w:rFonts w:ascii="Times New Roman" w:eastAsia="Times New Roman" w:hAnsi="Times New Roman" w:cs="Times New Roman"/>
          <w:color w:val="000000"/>
          <w:sz w:val="16"/>
          <w:szCs w:val="16"/>
        </w:rPr>
        <w:t>.Р</w:t>
      </w:r>
      <w:proofErr w:type="gramEnd"/>
      <w:r w:rsidRPr="008C5519">
        <w:rPr>
          <w:rFonts w:ascii="Times New Roman" w:eastAsia="Times New Roman" w:hAnsi="Times New Roman" w:cs="Times New Roman"/>
          <w:color w:val="000000"/>
          <w:sz w:val="16"/>
          <w:szCs w:val="16"/>
        </w:rPr>
        <w:t xml:space="preserve">У своим мнением о том, что "зачет" за грамотность можно ставить только при наличии во всей работе не более пяти орфографических и пунктуационных ошибок, поскольку нельзя считать ребенка грамотным, если пять ошибок приходится на каждые 100 слов (то есть более </w:t>
      </w:r>
      <w:proofErr w:type="gramStart"/>
      <w:r w:rsidRPr="008C5519">
        <w:rPr>
          <w:rFonts w:ascii="Times New Roman" w:eastAsia="Times New Roman" w:hAnsi="Times New Roman" w:cs="Times New Roman"/>
          <w:color w:val="000000"/>
          <w:sz w:val="16"/>
          <w:szCs w:val="16"/>
        </w:rPr>
        <w:t xml:space="preserve">10 ошибок в минимальном тексте в 250 слов), как это рекомендовано </w:t>
      </w:r>
      <w:proofErr w:type="spellStart"/>
      <w:r w:rsidRPr="008C5519">
        <w:rPr>
          <w:rFonts w:ascii="Times New Roman" w:eastAsia="Times New Roman" w:hAnsi="Times New Roman" w:cs="Times New Roman"/>
          <w:color w:val="000000"/>
          <w:sz w:val="16"/>
          <w:szCs w:val="16"/>
        </w:rPr>
        <w:t>Рособрнадзором</w:t>
      </w:r>
      <w:proofErr w:type="spellEnd"/>
      <w:r w:rsidRPr="008C5519">
        <w:rPr>
          <w:rFonts w:ascii="Times New Roman" w:eastAsia="Times New Roman" w:hAnsi="Times New Roman" w:cs="Times New Roman"/>
          <w:color w:val="000000"/>
          <w:sz w:val="16"/>
          <w:szCs w:val="16"/>
        </w:rPr>
        <w:t>.</w:t>
      </w:r>
      <w:proofErr w:type="gramEnd"/>
    </w:p>
    <w:p w:rsidR="008C5519" w:rsidRPr="008C5519" w:rsidRDefault="008C5519" w:rsidP="008F20A8">
      <w:pPr>
        <w:spacing w:after="196" w:line="196" w:lineRule="atLeast"/>
        <w:jc w:val="both"/>
        <w:rPr>
          <w:rFonts w:ascii="Times New Roman" w:eastAsia="Times New Roman" w:hAnsi="Times New Roman" w:cs="Times New Roman"/>
          <w:color w:val="000000"/>
          <w:sz w:val="16"/>
          <w:szCs w:val="16"/>
        </w:rPr>
      </w:pPr>
      <w:r w:rsidRPr="008C5519">
        <w:rPr>
          <w:rFonts w:ascii="Times New Roman" w:eastAsia="Times New Roman" w:hAnsi="Times New Roman" w:cs="Times New Roman"/>
          <w:color w:val="000000"/>
          <w:sz w:val="16"/>
          <w:szCs w:val="16"/>
        </w:rPr>
        <w:t xml:space="preserve">С одной стороны, можно предположить, что учащиеся, сделавшие в работах много ошибок, но получившие "зачет" за сочинение или изложение, все равно вряд получат на ЕГЭ по русскому языку хорошие баллы. С другой стороны, такой не очень строгий критерий оценки грамотности (получение "незачета" по которому даже не является основанием для выставления "незачета" по всей работе) точно не способствует стремлению детей к ее повышению. Изменится ли позиция </w:t>
      </w:r>
      <w:proofErr w:type="spellStart"/>
      <w:r w:rsidRPr="008C5519">
        <w:rPr>
          <w:rFonts w:ascii="Times New Roman" w:eastAsia="Times New Roman" w:hAnsi="Times New Roman" w:cs="Times New Roman"/>
          <w:color w:val="000000"/>
          <w:sz w:val="16"/>
          <w:szCs w:val="16"/>
        </w:rPr>
        <w:t>Рособрнадзора</w:t>
      </w:r>
      <w:proofErr w:type="spellEnd"/>
      <w:r w:rsidRPr="008C5519">
        <w:rPr>
          <w:rFonts w:ascii="Times New Roman" w:eastAsia="Times New Roman" w:hAnsi="Times New Roman" w:cs="Times New Roman"/>
          <w:color w:val="000000"/>
          <w:sz w:val="16"/>
          <w:szCs w:val="16"/>
        </w:rPr>
        <w:t xml:space="preserve"> по этому поводу, узнаем в следующем году.</w:t>
      </w:r>
    </w:p>
    <w:p w:rsidR="007D2687" w:rsidRPr="008F20A8" w:rsidRDefault="008C5519" w:rsidP="008F20A8">
      <w:pPr>
        <w:jc w:val="both"/>
        <w:rPr>
          <w:rFonts w:ascii="Times New Roman" w:hAnsi="Times New Roman" w:cs="Times New Roman"/>
        </w:rPr>
      </w:pPr>
      <w:r w:rsidRPr="008F20A8">
        <w:rPr>
          <w:rFonts w:ascii="Times New Roman" w:eastAsia="Times New Roman" w:hAnsi="Times New Roman" w:cs="Times New Roman"/>
          <w:color w:val="000000"/>
          <w:sz w:val="16"/>
          <w:szCs w:val="16"/>
        </w:rPr>
        <w:br/>
      </w:r>
      <w:r w:rsidRPr="008F20A8">
        <w:rPr>
          <w:rFonts w:ascii="Times New Roman" w:eastAsia="Times New Roman" w:hAnsi="Times New Roman" w:cs="Times New Roman"/>
          <w:color w:val="000000"/>
          <w:sz w:val="16"/>
          <w:szCs w:val="16"/>
        </w:rPr>
        <w:br/>
        <w:t>ГАРАНТ</w:t>
      </w:r>
      <w:proofErr w:type="gramStart"/>
      <w:r w:rsidRPr="008F20A8">
        <w:rPr>
          <w:rFonts w:ascii="Times New Roman" w:eastAsia="Times New Roman" w:hAnsi="Times New Roman" w:cs="Times New Roman"/>
          <w:color w:val="000000"/>
          <w:sz w:val="16"/>
          <w:szCs w:val="16"/>
        </w:rPr>
        <w:t>.Р</w:t>
      </w:r>
      <w:proofErr w:type="gramEnd"/>
      <w:r w:rsidRPr="008F20A8">
        <w:rPr>
          <w:rFonts w:ascii="Times New Roman" w:eastAsia="Times New Roman" w:hAnsi="Times New Roman" w:cs="Times New Roman"/>
          <w:color w:val="000000"/>
          <w:sz w:val="16"/>
          <w:szCs w:val="16"/>
        </w:rPr>
        <w:t>У:</w:t>
      </w:r>
      <w:r w:rsidRPr="008F20A8">
        <w:rPr>
          <w:rFonts w:ascii="Times New Roman" w:eastAsia="Times New Roman" w:hAnsi="Times New Roman" w:cs="Times New Roman"/>
          <w:color w:val="000000"/>
          <w:sz w:val="16"/>
        </w:rPr>
        <w:t> </w:t>
      </w:r>
      <w:hyperlink r:id="rId29" w:anchor="ixzz3rhUIVokD" w:history="1">
        <w:r w:rsidRPr="008F20A8">
          <w:rPr>
            <w:rFonts w:ascii="Times New Roman" w:eastAsia="Times New Roman" w:hAnsi="Times New Roman" w:cs="Times New Roman"/>
            <w:color w:val="003399"/>
            <w:sz w:val="16"/>
          </w:rPr>
          <w:t>http://www.garant.ru/article/671241/#ixzz3rhUIVokD</w:t>
        </w:r>
      </w:hyperlink>
    </w:p>
    <w:sectPr w:rsidR="007D2687" w:rsidRPr="008F20A8" w:rsidSect="008F20A8">
      <w:pgSz w:w="11906" w:h="16838"/>
      <w:pgMar w:top="567"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B2473"/>
    <w:multiLevelType w:val="multilevel"/>
    <w:tmpl w:val="EE4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A6A93"/>
    <w:multiLevelType w:val="multilevel"/>
    <w:tmpl w:val="6D1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C5519"/>
    <w:rsid w:val="007D2687"/>
    <w:rsid w:val="008C5519"/>
    <w:rsid w:val="008F2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5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519"/>
    <w:rPr>
      <w:rFonts w:ascii="Times New Roman" w:eastAsia="Times New Roman" w:hAnsi="Times New Roman" w:cs="Times New Roman"/>
      <w:b/>
      <w:bCs/>
      <w:kern w:val="36"/>
      <w:sz w:val="48"/>
      <w:szCs w:val="48"/>
    </w:rPr>
  </w:style>
  <w:style w:type="paragraph" w:styleId="a3">
    <w:name w:val="Normal (Web)"/>
    <w:basedOn w:val="a"/>
    <w:uiPriority w:val="99"/>
    <w:unhideWhenUsed/>
    <w:rsid w:val="008C55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5519"/>
    <w:rPr>
      <w:color w:val="0000FF"/>
      <w:u w:val="single"/>
    </w:rPr>
  </w:style>
  <w:style w:type="character" w:customStyle="1" w:styleId="apple-converted-space">
    <w:name w:val="apple-converted-space"/>
    <w:basedOn w:val="a0"/>
    <w:rsid w:val="008C5519"/>
  </w:style>
  <w:style w:type="character" w:styleId="a5">
    <w:name w:val="Strong"/>
    <w:basedOn w:val="a0"/>
    <w:uiPriority w:val="22"/>
    <w:qFormat/>
    <w:rsid w:val="008C5519"/>
    <w:rPr>
      <w:b/>
      <w:bCs/>
    </w:rPr>
  </w:style>
  <w:style w:type="paragraph" w:customStyle="1" w:styleId="p1">
    <w:name w:val="p1"/>
    <w:basedOn w:val="a"/>
    <w:rsid w:val="008C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C5519"/>
  </w:style>
  <w:style w:type="character" w:styleId="a6">
    <w:name w:val="Emphasis"/>
    <w:basedOn w:val="a0"/>
    <w:uiPriority w:val="20"/>
    <w:qFormat/>
    <w:rsid w:val="008C5519"/>
    <w:rPr>
      <w:i/>
      <w:iCs/>
    </w:rPr>
  </w:style>
</w:styles>
</file>

<file path=word/webSettings.xml><?xml version="1.0" encoding="utf-8"?>
<w:webSettings xmlns:r="http://schemas.openxmlformats.org/officeDocument/2006/relationships" xmlns:w="http://schemas.openxmlformats.org/wordprocessingml/2006/main">
  <w:divs>
    <w:div w:id="1198665065">
      <w:bodyDiv w:val="1"/>
      <w:marLeft w:val="0"/>
      <w:marRight w:val="0"/>
      <w:marTop w:val="0"/>
      <w:marBottom w:val="0"/>
      <w:divBdr>
        <w:top w:val="none" w:sz="0" w:space="0" w:color="auto"/>
        <w:left w:val="none" w:sz="0" w:space="0" w:color="auto"/>
        <w:bottom w:val="none" w:sz="0" w:space="0" w:color="auto"/>
        <w:right w:val="none" w:sz="0" w:space="0" w:color="auto"/>
      </w:divBdr>
      <w:divsChild>
        <w:div w:id="2034187031">
          <w:marLeft w:val="0"/>
          <w:marRight w:val="0"/>
          <w:marTop w:val="0"/>
          <w:marBottom w:val="138"/>
          <w:divBdr>
            <w:top w:val="none" w:sz="0" w:space="0" w:color="auto"/>
            <w:left w:val="none" w:sz="0" w:space="0" w:color="auto"/>
            <w:bottom w:val="none" w:sz="0" w:space="0" w:color="auto"/>
            <w:right w:val="none" w:sz="0" w:space="0" w:color="auto"/>
          </w:divBdr>
        </w:div>
        <w:div w:id="1929466127">
          <w:marLeft w:val="0"/>
          <w:marRight w:val="0"/>
          <w:marTop w:val="0"/>
          <w:marBottom w:val="0"/>
          <w:divBdr>
            <w:top w:val="none" w:sz="0" w:space="0" w:color="auto"/>
            <w:left w:val="none" w:sz="0" w:space="0" w:color="auto"/>
            <w:bottom w:val="none" w:sz="0" w:space="0" w:color="auto"/>
            <w:right w:val="none" w:sz="0" w:space="0" w:color="auto"/>
          </w:divBdr>
        </w:div>
        <w:div w:id="1241523446">
          <w:marLeft w:val="0"/>
          <w:marRight w:val="0"/>
          <w:marTop w:val="0"/>
          <w:marBottom w:val="173"/>
          <w:divBdr>
            <w:top w:val="none" w:sz="0" w:space="0" w:color="auto"/>
            <w:left w:val="none" w:sz="0" w:space="0" w:color="auto"/>
            <w:bottom w:val="none" w:sz="0" w:space="0" w:color="auto"/>
            <w:right w:val="none" w:sz="0" w:space="0" w:color="auto"/>
          </w:divBdr>
        </w:div>
        <w:div w:id="324358022">
          <w:marLeft w:val="461"/>
          <w:marRight w:val="0"/>
          <w:marTop w:val="0"/>
          <w:marBottom w:val="0"/>
          <w:divBdr>
            <w:top w:val="none" w:sz="0" w:space="0" w:color="auto"/>
            <w:left w:val="none" w:sz="0" w:space="0" w:color="auto"/>
            <w:bottom w:val="none" w:sz="0" w:space="0" w:color="auto"/>
            <w:right w:val="none" w:sz="0" w:space="0" w:color="auto"/>
          </w:divBdr>
        </w:div>
        <w:div w:id="723414075">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23200/" TargetMode="External"/><Relationship Id="rId13" Type="http://schemas.openxmlformats.org/officeDocument/2006/relationships/hyperlink" Target="http://base.garant.ru/71223200/" TargetMode="External"/><Relationship Id="rId18" Type="http://schemas.openxmlformats.org/officeDocument/2006/relationships/hyperlink" Target="http://base.garant.ru/71223200/" TargetMode="External"/><Relationship Id="rId26" Type="http://schemas.openxmlformats.org/officeDocument/2006/relationships/hyperlink" Target="http://base.garant.ru/71223200/" TargetMode="External"/><Relationship Id="rId3" Type="http://schemas.openxmlformats.org/officeDocument/2006/relationships/settings" Target="settings.xml"/><Relationship Id="rId21" Type="http://schemas.openxmlformats.org/officeDocument/2006/relationships/hyperlink" Target="http://base.garant.ru/71223200/" TargetMode="External"/><Relationship Id="rId7" Type="http://schemas.openxmlformats.org/officeDocument/2006/relationships/hyperlink" Target="http://base.garant.ru/71238164/" TargetMode="External"/><Relationship Id="rId12" Type="http://schemas.openxmlformats.org/officeDocument/2006/relationships/hyperlink" Target="http://base.garant.ru/71223200/" TargetMode="External"/><Relationship Id="rId17" Type="http://schemas.openxmlformats.org/officeDocument/2006/relationships/hyperlink" Target="http://base.garant.ru/71223200/" TargetMode="External"/><Relationship Id="rId25" Type="http://schemas.openxmlformats.org/officeDocument/2006/relationships/hyperlink" Target="http://base.garant.ru/71223200/" TargetMode="External"/><Relationship Id="rId2" Type="http://schemas.openxmlformats.org/officeDocument/2006/relationships/styles" Target="styles.xml"/><Relationship Id="rId16" Type="http://schemas.openxmlformats.org/officeDocument/2006/relationships/hyperlink" Target="http://base.garant.ru/71223200/" TargetMode="External"/><Relationship Id="rId20" Type="http://schemas.openxmlformats.org/officeDocument/2006/relationships/hyperlink" Target="http://base.garant.ru/71223200/" TargetMode="External"/><Relationship Id="rId29" Type="http://schemas.openxmlformats.org/officeDocument/2006/relationships/hyperlink" Target="http://www.garant.ru/article/6712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1223200/" TargetMode="External"/><Relationship Id="rId24" Type="http://schemas.openxmlformats.org/officeDocument/2006/relationships/hyperlink" Target="http://base.garant.ru/71223200/" TargetMode="External"/><Relationship Id="rId5" Type="http://schemas.openxmlformats.org/officeDocument/2006/relationships/hyperlink" Target="http://www.garant.ru/ia/aggregator/?tag_id=907" TargetMode="External"/><Relationship Id="rId15" Type="http://schemas.openxmlformats.org/officeDocument/2006/relationships/hyperlink" Target="http://base.garant.ru/71223200/" TargetMode="External"/><Relationship Id="rId23" Type="http://schemas.openxmlformats.org/officeDocument/2006/relationships/hyperlink" Target="http://base.garant.ru/71223200/" TargetMode="External"/><Relationship Id="rId28" Type="http://schemas.openxmlformats.org/officeDocument/2006/relationships/hyperlink" Target="http://www.garant.ru/ia/opinion/author/doschinskiy/582112/" TargetMode="External"/><Relationship Id="rId10" Type="http://schemas.openxmlformats.org/officeDocument/2006/relationships/hyperlink" Target="http://base.garant.ru/71223200/" TargetMode="External"/><Relationship Id="rId19" Type="http://schemas.openxmlformats.org/officeDocument/2006/relationships/hyperlink" Target="http://base.garant.ru/712232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ero.garant.ru/internet/?utm_source=garant&amp;utm_medium=tgb&amp;utm_content=article-671241&amp;utm_campaign=lead-from-editors" TargetMode="External"/><Relationship Id="rId14" Type="http://schemas.openxmlformats.org/officeDocument/2006/relationships/hyperlink" Target="http://base.garant.ru/70584436/" TargetMode="External"/><Relationship Id="rId22" Type="http://schemas.openxmlformats.org/officeDocument/2006/relationships/hyperlink" Target="http://base.garant.ru/71223200/" TargetMode="External"/><Relationship Id="rId27" Type="http://schemas.openxmlformats.org/officeDocument/2006/relationships/hyperlink" Target="http://base.garant.ru/712232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3521</Words>
  <Characters>20072</Characters>
  <Application>Microsoft Office Word</Application>
  <DocSecurity>0</DocSecurity>
  <Lines>167</Lines>
  <Paragraphs>47</Paragraphs>
  <ScaleCrop>false</ScaleCrop>
  <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2015-11-16T23:32:00Z</dcterms:created>
  <dcterms:modified xsi:type="dcterms:W3CDTF">2015-11-16T23:34:00Z</dcterms:modified>
</cp:coreProperties>
</file>